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E8260" w14:textId="4A516F48" w:rsidR="00503D9C" w:rsidRDefault="00A73ABC" w:rsidP="007E7EB6">
      <w:pPr>
        <w:pStyle w:val="ReportTitle"/>
        <w:spacing w:beforeLines="120" w:before="288" w:afterLines="120" w:after="288" w:line="240" w:lineRule="auto"/>
      </w:pPr>
      <w:r>
        <w:t>Safety Monitor Requirements 202</w:t>
      </w:r>
      <w:r w:rsidR="00CF38CF">
        <w:t>4</w:t>
      </w:r>
      <w:r>
        <w:t>/2</w:t>
      </w:r>
      <w:r w:rsidR="00CF38CF">
        <w:t>5</w:t>
      </w:r>
    </w:p>
    <w:p w14:paraId="313C6EFF" w14:textId="77777777" w:rsidR="00A14091" w:rsidRDefault="00A14091" w:rsidP="007E7EB6">
      <w:pPr>
        <w:spacing w:beforeLines="120" w:before="288" w:afterLines="120" w:after="288" w:line="240" w:lineRule="auto"/>
      </w:pPr>
    </w:p>
    <w:p w14:paraId="5623F3D5" w14:textId="1B488130" w:rsidR="000D7D8F" w:rsidRDefault="00222B45" w:rsidP="007E7EB6">
      <w:pPr>
        <w:pStyle w:val="CoverDate"/>
        <w:spacing w:beforeLines="120" w:before="288" w:afterLines="120" w:after="288" w:line="240" w:lineRule="auto"/>
      </w:pPr>
      <w:r>
        <w:t>October</w:t>
      </w:r>
      <w:r w:rsidR="000D7D8F">
        <w:t xml:space="preserve"> 202</w:t>
      </w:r>
      <w:r w:rsidR="00CF38CF">
        <w:t>4</w:t>
      </w:r>
    </w:p>
    <w:p w14:paraId="3C4E28D7" w14:textId="77777777" w:rsidR="000D7D8F" w:rsidRDefault="000D7D8F" w:rsidP="007E7EB6">
      <w:pPr>
        <w:spacing w:beforeLines="120" w:before="288" w:afterLines="120" w:after="288" w:line="240" w:lineRule="auto"/>
      </w:pPr>
    </w:p>
    <w:p w14:paraId="1D81A09E" w14:textId="77777777" w:rsidR="000D7D8F" w:rsidRDefault="000D7D8F" w:rsidP="007E7EB6">
      <w:pPr>
        <w:spacing w:beforeLines="120" w:before="288" w:afterLines="120" w:after="288" w:line="240" w:lineRule="auto"/>
        <w:sectPr w:rsidR="000D7D8F" w:rsidSect="00520D33">
          <w:headerReference w:type="default" r:id="rId11"/>
          <w:pgSz w:w="11906" w:h="16838"/>
          <w:pgMar w:top="794" w:right="851" w:bottom="284" w:left="851" w:header="397" w:footer="794" w:gutter="0"/>
          <w:cols w:space="708"/>
          <w:docGrid w:linePitch="360"/>
        </w:sectPr>
      </w:pPr>
    </w:p>
    <w:p w14:paraId="1BDC73FC" w14:textId="667C1292" w:rsidR="00A135A8" w:rsidRDefault="00664863" w:rsidP="007E7EB6">
      <w:pPr>
        <w:pStyle w:val="Heading1"/>
        <w:spacing w:beforeLines="120" w:before="288" w:afterLines="120" w:after="288" w:line="240" w:lineRule="auto"/>
      </w:pPr>
      <w:r>
        <w:lastRenderedPageBreak/>
        <w:t>Safety Monitor Requirements</w:t>
      </w:r>
    </w:p>
    <w:p w14:paraId="735A4B0F" w14:textId="21F3AE20" w:rsidR="00A135A8" w:rsidRDefault="00664863" w:rsidP="007E7EB6">
      <w:pPr>
        <w:pStyle w:val="ChartTitle"/>
        <w:spacing w:beforeLines="120" w:before="288" w:afterLines="120" w:after="288" w:line="240" w:lineRule="auto"/>
      </w:pPr>
      <w:r>
        <w:t>Introduction</w:t>
      </w:r>
    </w:p>
    <w:p w14:paraId="3B392E28" w14:textId="01F8DB90" w:rsidR="00B66569" w:rsidRDefault="002F2F0F" w:rsidP="007E7EB6">
      <w:pPr>
        <w:pStyle w:val="Numberedtext"/>
        <w:numPr>
          <w:ilvl w:val="0"/>
          <w:numId w:val="0"/>
        </w:numPr>
        <w:spacing w:beforeLines="120" w:before="288" w:afterLines="120" w:after="288" w:line="240" w:lineRule="auto"/>
      </w:pPr>
      <w:r>
        <w:t xml:space="preserve">This document sets out ‘Safety Monitor’ for the </w:t>
      </w:r>
      <w:r w:rsidR="00BD4954">
        <w:t>2024/25</w:t>
      </w:r>
      <w:r>
        <w:t xml:space="preserve"> Winter, pursuant to </w:t>
      </w:r>
      <w:r w:rsidR="00931C30">
        <w:t xml:space="preserve">the </w:t>
      </w:r>
      <w:r>
        <w:t>obligations</w:t>
      </w:r>
      <w:r w:rsidR="00931C30">
        <w:t xml:space="preserve"> of National Gas Transmission</w:t>
      </w:r>
      <w:r>
        <w:t xml:space="preserve"> under the Uniform Network Code (UNC), Section Q.</w:t>
      </w:r>
    </w:p>
    <w:p w14:paraId="6E9391B4" w14:textId="332F296B" w:rsidR="00B66569" w:rsidRDefault="002F2F0F" w:rsidP="007E7EB6">
      <w:pPr>
        <w:pStyle w:val="Numberedtext"/>
        <w:numPr>
          <w:ilvl w:val="0"/>
          <w:numId w:val="0"/>
        </w:numPr>
        <w:spacing w:beforeLines="120" w:before="288" w:afterLines="120" w:after="288" w:line="240" w:lineRule="auto"/>
      </w:pPr>
      <w:r>
        <w:t>The Safety Monitor requirements this year for Space and Deliverability are 0GWh and 0GWh/d respectively. This is equal to the requirements calculated in September 202</w:t>
      </w:r>
      <w:r w:rsidR="00BD4954">
        <w:t>3</w:t>
      </w:r>
      <w:r>
        <w:t xml:space="preserve"> for Winter 202</w:t>
      </w:r>
      <w:r w:rsidR="00EB58A3">
        <w:t>3</w:t>
      </w:r>
      <w:r>
        <w:t>/2</w:t>
      </w:r>
      <w:r w:rsidR="00EB58A3">
        <w:t>4</w:t>
      </w:r>
      <w:r>
        <w:t xml:space="preserve"> which were 0GWh for Space and 0GWh/d for Deliverability. It is acknowledged that should the Non-Storage Supplies (NSS) figure change through the winter period, National Gas</w:t>
      </w:r>
      <w:r w:rsidR="0023657A">
        <w:t xml:space="preserve"> Transmission</w:t>
      </w:r>
      <w:r>
        <w:t xml:space="preserve"> reserves the right to review the monitor to reflect such changes and ensure a reasonable degree of accuracy.</w:t>
      </w:r>
    </w:p>
    <w:p w14:paraId="3DAE9325" w14:textId="52E376CD" w:rsidR="008D2F4F" w:rsidRDefault="002F2F0F" w:rsidP="007E7EB6">
      <w:pPr>
        <w:pStyle w:val="Numberedtext"/>
        <w:numPr>
          <w:ilvl w:val="0"/>
          <w:numId w:val="0"/>
        </w:numPr>
        <w:spacing w:beforeLines="120" w:before="288" w:afterLines="120" w:after="288" w:line="240" w:lineRule="auto"/>
      </w:pPr>
      <w:r>
        <w:t>Safety Monitor defines levels of storage that must be maintained through the winter period. The focus of the Safety Monitor is public safety rather than security of supply. It provides a trigger mechanism for taking direct action to avoid a potential gas supply emergency (as defined in the Gas Safety (Management) Regulations).</w:t>
      </w:r>
    </w:p>
    <w:p w14:paraId="6BA33C5A" w14:textId="3C757A6D" w:rsidR="0085237D" w:rsidRDefault="0085237D" w:rsidP="007E7EB6">
      <w:pPr>
        <w:pStyle w:val="ChartTitle"/>
        <w:spacing w:beforeLines="120" w:before="288" w:afterLines="120" w:after="288" w:line="240" w:lineRule="auto"/>
      </w:pPr>
      <w:r>
        <w:t>Safety Monitor Methodology</w:t>
      </w:r>
    </w:p>
    <w:p w14:paraId="635700D8" w14:textId="0588B971" w:rsidR="00A2075D" w:rsidRDefault="007A07D9" w:rsidP="007E7EB6">
      <w:pPr>
        <w:spacing w:beforeLines="120" w:before="288" w:afterLines="120" w:after="288" w:line="240" w:lineRule="auto"/>
      </w:pPr>
      <w:bookmarkStart w:id="0" w:name="_Toc128150161"/>
      <w:r>
        <w:t xml:space="preserve">It is our responsibility to keep the Safety Monitor under review (both ahead of and throughout the winter) and to </w:t>
      </w:r>
      <w:r w:rsidR="00785767">
        <w:t>adjust</w:t>
      </w:r>
      <w:r>
        <w:t xml:space="preserve"> if it is appropriate to do so </w:t>
      </w:r>
      <w:r w:rsidR="00785767">
        <w:t>based on</w:t>
      </w:r>
      <w:r>
        <w:t xml:space="preserve"> the information available to us. In doing so, we must recognise that the purpose of the Safety Monitor is to ensure an adequate pressure can</w:t>
      </w:r>
      <w:r w:rsidR="00785767">
        <w:t xml:space="preserve"> </w:t>
      </w:r>
      <w:r w:rsidR="004E2A89">
        <w:t>always</w:t>
      </w:r>
      <w:r w:rsidR="00785767">
        <w:t xml:space="preserve"> be</w:t>
      </w:r>
      <w:r w:rsidR="004E2A89">
        <w:t xml:space="preserve"> maintained in the network</w:t>
      </w:r>
      <w:r>
        <w:t xml:space="preserve"> and thereby protect public safety. It is therefore appropriate that we adopt a prudent approach to setting the Safety</w:t>
      </w:r>
      <w:r w:rsidR="00724B74">
        <w:t xml:space="preserve"> </w:t>
      </w:r>
      <w:r>
        <w:t>Monitor levels.</w:t>
      </w:r>
    </w:p>
    <w:p w14:paraId="2B70059A" w14:textId="7A147F59" w:rsidR="003A043F" w:rsidRDefault="007A07D9" w:rsidP="007E7EB6">
      <w:pPr>
        <w:spacing w:beforeLines="120" w:before="288" w:afterLines="120" w:after="288" w:line="240" w:lineRule="auto"/>
      </w:pPr>
      <w:r>
        <w:t xml:space="preserve">The concept behind the Safety Monitor is to provide sufficient gas in storage to support those gas consumers whose premises cannot be physically and verifiably isolated from the gas network within a reasonable </w:t>
      </w:r>
      <w:r w:rsidR="00785767">
        <w:t>time</w:t>
      </w:r>
      <w:r>
        <w:t>. To achieve this, all gas consumers are categorised into one of two groups</w:t>
      </w:r>
      <w:r w:rsidR="003A043F">
        <w:t>:</w:t>
      </w:r>
    </w:p>
    <w:p w14:paraId="49762333" w14:textId="26A7DF4E" w:rsidR="003A043F" w:rsidRDefault="003A043F" w:rsidP="007E7EB6">
      <w:pPr>
        <w:pStyle w:val="ListParagraph"/>
        <w:numPr>
          <w:ilvl w:val="0"/>
          <w:numId w:val="14"/>
        </w:numPr>
        <w:spacing w:beforeLines="120" w:before="288" w:afterLines="120" w:after="288" w:line="240" w:lineRule="auto"/>
        <w:contextualSpacing w:val="0"/>
      </w:pPr>
      <w:r>
        <w:t>Protected by Monitor - Gas is held in storage to facilitate continuity of supply to these consumers even in a 1 in 50 winter</w:t>
      </w:r>
    </w:p>
    <w:p w14:paraId="1F581897" w14:textId="03CC7EB7" w:rsidR="006B3D23" w:rsidRDefault="003A043F" w:rsidP="007E7EB6">
      <w:pPr>
        <w:pStyle w:val="ListParagraph"/>
        <w:numPr>
          <w:ilvl w:val="0"/>
          <w:numId w:val="14"/>
        </w:numPr>
        <w:spacing w:beforeLines="120" w:before="288" w:afterLines="120" w:after="288" w:line="240" w:lineRule="auto"/>
        <w:contextualSpacing w:val="0"/>
      </w:pPr>
      <w:r>
        <w:t>Protected by Isolation – Network safety would be maintained, if necessary, by physically isolating these customers from the networ</w:t>
      </w:r>
      <w:r w:rsidR="006B3D23">
        <w:t>k</w:t>
      </w:r>
    </w:p>
    <w:p w14:paraId="675656FC" w14:textId="75B28B0E" w:rsidR="00B66569" w:rsidRDefault="00AF3C17" w:rsidP="007E7EB6">
      <w:pPr>
        <w:spacing w:beforeLines="120" w:before="288" w:afterLines="120" w:after="288" w:line="240" w:lineRule="auto"/>
      </w:pPr>
      <w:r>
        <w:t xml:space="preserve">The Safety Monitor has two components. These are the storage deliverability and storage space Safety Monitors. The storage deliverability Safety Monitor indicates the minimum level of deliverability required to both safely isolate loads that are “Protected by Isolation” </w:t>
      </w:r>
      <w:r w:rsidR="00724B74">
        <w:t>and</w:t>
      </w:r>
      <w:r>
        <w:t xml:space="preserve"> support loads that are “Protected by Monitor”. The deliverability Safety Monitor is therefore providing operational cover should an </w:t>
      </w:r>
      <w:r w:rsidR="008F704E">
        <w:t>e</w:t>
      </w:r>
      <w:r>
        <w:t xml:space="preserve">mergency be called on any </w:t>
      </w:r>
      <w:r w:rsidR="00724B74">
        <w:t>day</w:t>
      </w:r>
      <w:r>
        <w:t>, whilst the space Safety Monitor provides sufficient gas in store to support “Protected by Monitor”</w:t>
      </w:r>
      <w:r w:rsidR="00724B74">
        <w:t xml:space="preserve"> </w:t>
      </w:r>
      <w:r>
        <w:t>loads for the remainder of the winter.</w:t>
      </w:r>
    </w:p>
    <w:p w14:paraId="07A78711" w14:textId="627AA63C" w:rsidR="00A2075D" w:rsidRDefault="00AF3C17" w:rsidP="007E7EB6">
      <w:pPr>
        <w:spacing w:beforeLines="120" w:before="288" w:afterLines="120" w:after="288" w:line="240" w:lineRule="auto"/>
      </w:pPr>
      <w:r>
        <w:lastRenderedPageBreak/>
        <w:t xml:space="preserve">The level of the Safety Monitor is dependent on the level of </w:t>
      </w:r>
      <w:r w:rsidR="007B1593">
        <w:t>non-storage supply (</w:t>
      </w:r>
      <w:r>
        <w:t>NSS</w:t>
      </w:r>
      <w:r w:rsidR="007B1593">
        <w:t>) available</w:t>
      </w:r>
      <w:r>
        <w:t xml:space="preserve"> and therefore if the level of NSS reduces, the Safety Monitor will increase. This assessment</w:t>
      </w:r>
      <w:r w:rsidR="00724B74">
        <w:t xml:space="preserve"> </w:t>
      </w:r>
      <w:r>
        <w:t>is undertaken on a regular basis by National G</w:t>
      </w:r>
      <w:r w:rsidR="00F74E9E">
        <w:t>as Transmission</w:t>
      </w:r>
      <w:r>
        <w:t xml:space="preserve"> throughout the winter period.</w:t>
      </w:r>
    </w:p>
    <w:p w14:paraId="4406BDC3" w14:textId="77777777" w:rsidR="00556175" w:rsidRDefault="00795117" w:rsidP="007E7EB6">
      <w:pPr>
        <w:pStyle w:val="ChartTitle"/>
        <w:spacing w:beforeLines="120" w:before="288" w:afterLines="120" w:after="288" w:line="240" w:lineRule="auto"/>
      </w:pPr>
      <w:r>
        <w:t>Operation of Safety Monitor</w:t>
      </w:r>
    </w:p>
    <w:p w14:paraId="184EFF6D" w14:textId="0E4E71C2" w:rsidR="00D52A1C" w:rsidRDefault="00656D86" w:rsidP="007E7EB6">
      <w:pPr>
        <w:spacing w:beforeLines="120" w:before="288" w:afterLines="120" w:after="288" w:line="240" w:lineRule="auto"/>
      </w:pPr>
      <w:r>
        <w:t>It is a requirement of National G</w:t>
      </w:r>
      <w:r w:rsidR="008E2AB9">
        <w:t>as Transmission</w:t>
      </w:r>
      <w:r>
        <w:t xml:space="preserve">’s Safety Case that we operate this monitor system and that we take action to ensure that storage stocks (space) do not fall below the defined level. The level of storage established by the Safety Monitor is that required to underpin the safe operation of the gas transportation system. Its aim is to ensure the preservation of supplies to domestic customers, other non-daily metered (NDM) customers and certain other customers who could not safely be isolated from the gas system, if necessary, </w:t>
      </w:r>
      <w:r w:rsidR="009639A9">
        <w:t>to</w:t>
      </w:r>
      <w:r>
        <w:t xml:space="preserve"> achieve a</w:t>
      </w:r>
      <w:r w:rsidR="00AA1CD9">
        <w:t xml:space="preserve"> </w:t>
      </w:r>
      <w:r>
        <w:t>supply-demand balance and thereby maintain sufficient pressures in the</w:t>
      </w:r>
      <w:r w:rsidR="00AA1CD9">
        <w:t xml:space="preserve"> </w:t>
      </w:r>
      <w:r>
        <w:t>network.</w:t>
      </w:r>
      <w:r w:rsidR="00AA1CD9">
        <w:t xml:space="preserve"> </w:t>
      </w:r>
    </w:p>
    <w:p w14:paraId="7D64C709" w14:textId="56311973" w:rsidR="00D52A1C" w:rsidRDefault="00656D86" w:rsidP="007E7EB6">
      <w:pPr>
        <w:spacing w:beforeLines="120" w:before="288" w:afterLines="120" w:after="288" w:line="240" w:lineRule="auto"/>
      </w:pPr>
      <w:r>
        <w:t>The space Safety Monitor defines the minimum level of stored gas required in</w:t>
      </w:r>
      <w:r w:rsidR="00AA1CD9">
        <w:t xml:space="preserve"> </w:t>
      </w:r>
      <w:r>
        <w:t>aggregate in all UK storage, on each day of the winter. We monitor the level of</w:t>
      </w:r>
      <w:r w:rsidR="00AA1CD9">
        <w:t xml:space="preserve"> </w:t>
      </w:r>
      <w:r>
        <w:t>gas in all storage facility types throughout the winter to ensure that the actual</w:t>
      </w:r>
      <w:r w:rsidR="00AA1CD9">
        <w:t xml:space="preserve"> </w:t>
      </w:r>
      <w:r>
        <w:t>aggregate stock level does not fall below the space Safety Monitor level. If this</w:t>
      </w:r>
      <w:r w:rsidR="00AA1CD9">
        <w:t xml:space="preserve"> </w:t>
      </w:r>
      <w:r>
        <w:t>were to occur, there would be insufficient gas left in storage to underpin the</w:t>
      </w:r>
      <w:r w:rsidR="00AA1CD9">
        <w:t xml:space="preserve"> </w:t>
      </w:r>
      <w:r>
        <w:t>safe operation of the system in a 1 in 50 cold winter. Under these conditions,</w:t>
      </w:r>
      <w:r w:rsidR="00541C52">
        <w:t xml:space="preserve"> </w:t>
      </w:r>
      <w:r>
        <w:t>we would therefore be obliged by our Safety Case to take action to remedy this</w:t>
      </w:r>
      <w:r w:rsidR="00541C52">
        <w:t xml:space="preserve"> </w:t>
      </w:r>
      <w:r>
        <w:t>situation. In the lead-up to such a situation, we would advise the market with</w:t>
      </w:r>
      <w:r w:rsidR="00541C52">
        <w:t xml:space="preserve"> </w:t>
      </w:r>
      <w:r>
        <w:t>the objective of encouraging mitigating action. If necessary, however, the</w:t>
      </w:r>
      <w:r w:rsidR="00541C52">
        <w:t xml:space="preserve"> </w:t>
      </w:r>
      <w:r>
        <w:t>Network Emergency Co-ordinator (NEC) may require the relevant storage</w:t>
      </w:r>
      <w:r w:rsidR="00541C52">
        <w:t xml:space="preserve"> </w:t>
      </w:r>
      <w:r>
        <w:t>operators to reduce or curtail flows of gas out of storage. In this situation, we</w:t>
      </w:r>
      <w:r w:rsidR="00541C52">
        <w:t xml:space="preserve"> </w:t>
      </w:r>
      <w:r>
        <w:t xml:space="preserve">would expect the market to rebalance </w:t>
      </w:r>
      <w:r w:rsidR="009639A9">
        <w:t>to</w:t>
      </w:r>
      <w:r>
        <w:t xml:space="preserve"> achieve a match </w:t>
      </w:r>
      <w:r w:rsidR="000D0BE1">
        <w:t>b</w:t>
      </w:r>
      <w:r>
        <w:t>etween</w:t>
      </w:r>
      <w:r w:rsidR="00541C52">
        <w:t xml:space="preserve"> </w:t>
      </w:r>
      <w:r>
        <w:t>supply and demand.</w:t>
      </w:r>
      <w:r w:rsidR="00541C52">
        <w:t xml:space="preserve"> </w:t>
      </w:r>
    </w:p>
    <w:p w14:paraId="2EBD2338" w14:textId="60F1EE4D" w:rsidR="001264AD" w:rsidRDefault="00656D86" w:rsidP="00790C6E">
      <w:pPr>
        <w:spacing w:beforeLines="120" w:before="288" w:afterLines="120" w:after="288" w:line="240" w:lineRule="auto"/>
      </w:pPr>
      <w:r>
        <w:t>The combination of relevant information and clarity of the remaining storage</w:t>
      </w:r>
      <w:r w:rsidR="00155186">
        <w:t xml:space="preserve"> </w:t>
      </w:r>
      <w:r>
        <w:t>position should assist market participants in ensuring security of supply. While</w:t>
      </w:r>
      <w:r w:rsidR="00155186">
        <w:t xml:space="preserve"> </w:t>
      </w:r>
      <w:r>
        <w:t>National G</w:t>
      </w:r>
      <w:r w:rsidR="00E1777C">
        <w:t>as Transmission</w:t>
      </w:r>
      <w:r>
        <w:t xml:space="preserve"> would seek to minimise the extent of any intervention in the</w:t>
      </w:r>
      <w:r w:rsidR="00155186">
        <w:t xml:space="preserve"> </w:t>
      </w:r>
      <w:r>
        <w:t>market, the balance between allowing the market to resolve the situation and</w:t>
      </w:r>
      <w:r w:rsidR="00155186">
        <w:t xml:space="preserve"> </w:t>
      </w:r>
      <w:r w:rsidR="00B66569">
        <w:t>acting</w:t>
      </w:r>
      <w:r>
        <w:t xml:space="preserve"> via the NEC will clearly depend on the severity of the situation and</w:t>
      </w:r>
      <w:r w:rsidR="00155186">
        <w:t xml:space="preserve"> </w:t>
      </w:r>
      <w:r>
        <w:t>the associated timescales.</w:t>
      </w:r>
    </w:p>
    <w:p w14:paraId="3D5868B5" w14:textId="7E6F7203" w:rsidR="00D7584F" w:rsidRDefault="00D7584F" w:rsidP="00790C6E">
      <w:pPr>
        <w:pStyle w:val="ChartTitle"/>
        <w:spacing w:before="120" w:after="120" w:line="240" w:lineRule="auto"/>
      </w:pPr>
      <w:r>
        <w:t>Approach to the Safety Monitor levels</w:t>
      </w:r>
    </w:p>
    <w:p w14:paraId="784266B6" w14:textId="62AFA516" w:rsidR="006706D5" w:rsidRDefault="00C109AB" w:rsidP="00790C6E">
      <w:pPr>
        <w:spacing w:beforeLines="120" w:before="288" w:afterLines="120" w:after="288" w:line="240" w:lineRule="auto"/>
      </w:pPr>
      <w:r>
        <w:t xml:space="preserve">This note is published in conjunction with the </w:t>
      </w:r>
      <w:r w:rsidR="00BD4954">
        <w:t>2024/25</w:t>
      </w:r>
      <w:r w:rsidRPr="007978EB">
        <w:t xml:space="preserve"> Winter Outlook Report</w:t>
      </w:r>
      <w:r>
        <w:t>, which contains more detailed coverage of our preliminary view of supplies for the coming winter. As with previous years we will continue to review the Safety Monitor levels throughout the winter and, if necessary, we will revise them to reflect material changes to the supply-demand balance. National G</w:t>
      </w:r>
      <w:r w:rsidR="002A39EE">
        <w:t>as Transmission</w:t>
      </w:r>
      <w:r>
        <w:t xml:space="preserve"> will continue to provide winter feedback to industry regarding supply assumptions and resulting changes to Safety Monitor by means of monthly updates via Operational forums and our reporting on our website.</w:t>
      </w:r>
    </w:p>
    <w:p w14:paraId="6D954A51" w14:textId="77777777" w:rsidR="00097AAD" w:rsidRDefault="00097AAD" w:rsidP="00097AAD">
      <w:pPr>
        <w:pStyle w:val="ChartTitle"/>
        <w:spacing w:before="120" w:after="120"/>
      </w:pPr>
    </w:p>
    <w:p w14:paraId="63B01FCD" w14:textId="2FCD2F1D" w:rsidR="007838BC" w:rsidRDefault="007838BC" w:rsidP="00097AAD">
      <w:pPr>
        <w:pStyle w:val="ChartTitle"/>
        <w:spacing w:before="120" w:after="120"/>
      </w:pPr>
      <w:r>
        <w:lastRenderedPageBreak/>
        <w:t>Supply Assumptions</w:t>
      </w:r>
    </w:p>
    <w:p w14:paraId="1900A091" w14:textId="7D9EDE0B" w:rsidR="004E5716" w:rsidRDefault="0036015C" w:rsidP="00097AAD">
      <w:pPr>
        <w:spacing w:before="120" w:after="120"/>
      </w:pPr>
      <w:r>
        <w:t>The process used to determine our supply assumptions is driven by changing supply patterns resulting from falling gas demand. This section summarises the process. Further detail is provided in the Winter Outlook Report</w:t>
      </w:r>
      <w:r w:rsidR="006F73F9">
        <w:t>.</w:t>
      </w:r>
    </w:p>
    <w:p w14:paraId="1F4F0C3C" w14:textId="4D60E366" w:rsidR="007838BC" w:rsidRDefault="0036015C" w:rsidP="00097AAD">
      <w:pPr>
        <w:spacing w:before="120" w:after="120"/>
      </w:pPr>
      <w:r>
        <w:t>Figure 1 shows the NSS versus demand relationship for this year’s Safety Monitor. The data set to create this chart is</w:t>
      </w:r>
      <w:r w:rsidR="002213C7">
        <w:t xml:space="preserve"> from the past 5 Winters with a weighting towards the most recent Winters.</w:t>
      </w:r>
    </w:p>
    <w:p w14:paraId="4456089D" w14:textId="7103B7E3" w:rsidR="00931C30" w:rsidRPr="005D0777" w:rsidRDefault="001170C6" w:rsidP="0036015C">
      <w:pPr>
        <w:rPr>
          <w:b/>
          <w:bCs/>
          <w:color w:val="00B2A1" w:themeColor="accent6"/>
        </w:rPr>
      </w:pPr>
      <w:r w:rsidRPr="005D0777">
        <w:rPr>
          <w:b/>
          <w:bCs/>
          <w:color w:val="00B2A1" w:themeColor="accent6"/>
        </w:rPr>
        <w:t>Figure 1 – Non storage supply (NSS) versus demand for the winters of 201</w:t>
      </w:r>
      <w:r w:rsidR="007C015C">
        <w:rPr>
          <w:b/>
          <w:bCs/>
          <w:color w:val="00B2A1" w:themeColor="accent6"/>
        </w:rPr>
        <w:t>9</w:t>
      </w:r>
      <w:r w:rsidRPr="005D0777">
        <w:rPr>
          <w:b/>
          <w:bCs/>
          <w:color w:val="00B2A1" w:themeColor="accent6"/>
        </w:rPr>
        <w:t>/</w:t>
      </w:r>
      <w:r w:rsidR="007C015C">
        <w:rPr>
          <w:b/>
          <w:bCs/>
          <w:color w:val="00B2A1" w:themeColor="accent6"/>
        </w:rPr>
        <w:t>20</w:t>
      </w:r>
      <w:r w:rsidRPr="005D0777">
        <w:rPr>
          <w:b/>
          <w:bCs/>
          <w:color w:val="00B2A1" w:themeColor="accent6"/>
        </w:rPr>
        <w:t xml:space="preserve"> to 20</w:t>
      </w:r>
      <w:r w:rsidR="005D0777" w:rsidRPr="005D0777">
        <w:rPr>
          <w:b/>
          <w:bCs/>
          <w:color w:val="00B2A1" w:themeColor="accent6"/>
        </w:rPr>
        <w:t>2</w:t>
      </w:r>
      <w:r w:rsidR="005F1860">
        <w:rPr>
          <w:b/>
          <w:bCs/>
          <w:color w:val="00B2A1" w:themeColor="accent6"/>
        </w:rPr>
        <w:t>32</w:t>
      </w:r>
      <w:r w:rsidR="005D0777" w:rsidRPr="005D0777">
        <w:rPr>
          <w:b/>
          <w:bCs/>
          <w:color w:val="00B2A1" w:themeColor="accent6"/>
        </w:rPr>
        <w:t>/2</w:t>
      </w:r>
      <w:r w:rsidR="005F1860">
        <w:rPr>
          <w:b/>
          <w:bCs/>
          <w:color w:val="00B2A1" w:themeColor="accent6"/>
        </w:rPr>
        <w:t>4</w:t>
      </w:r>
      <w:r w:rsidR="005D0777" w:rsidRPr="005D0777">
        <w:rPr>
          <w:b/>
          <w:bCs/>
          <w:color w:val="00B2A1" w:themeColor="accent6"/>
        </w:rPr>
        <w:t>.</w:t>
      </w:r>
    </w:p>
    <w:p w14:paraId="6856E8BA" w14:textId="1A5C8C0B" w:rsidR="000E523D" w:rsidRDefault="000E523D" w:rsidP="006114D0"/>
    <w:p w14:paraId="38C0EEEA" w14:textId="31199D78" w:rsidR="004936C2" w:rsidRDefault="006D4405" w:rsidP="004936C2">
      <w:pPr>
        <w:jc w:val="center"/>
      </w:pPr>
      <w:r>
        <w:rPr>
          <w:noProof/>
        </w:rPr>
        <w:drawing>
          <wp:inline distT="0" distB="0" distL="0" distR="0" wp14:anchorId="4BD956BA" wp14:editId="61BCB88D">
            <wp:extent cx="5063465" cy="36957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0851" cy="3701091"/>
                    </a:xfrm>
                    <a:prstGeom prst="rect">
                      <a:avLst/>
                    </a:prstGeom>
                    <a:noFill/>
                  </pic:spPr>
                </pic:pic>
              </a:graphicData>
            </a:graphic>
          </wp:inline>
        </w:drawing>
      </w:r>
    </w:p>
    <w:p w14:paraId="28544F1B" w14:textId="77777777" w:rsidR="004936C2" w:rsidRDefault="004936C2" w:rsidP="006114D0"/>
    <w:p w14:paraId="7DFD2754" w14:textId="06AC0103" w:rsidR="0093082D" w:rsidRDefault="006114D0" w:rsidP="006114D0">
      <w:r>
        <w:t xml:space="preserve">Figure 1 shows the NSS versus demand assumption for Winter </w:t>
      </w:r>
      <w:r w:rsidR="00BD4954">
        <w:t>2024/25</w:t>
      </w:r>
      <w:r>
        <w:t>, based</w:t>
      </w:r>
      <w:r w:rsidR="00DE1A2E">
        <w:t xml:space="preserve"> </w:t>
      </w:r>
      <w:r>
        <w:t>on an analysis of the last five winters. This is used to establish a curve of how</w:t>
      </w:r>
      <w:r w:rsidR="00DE1A2E">
        <w:t xml:space="preserve"> </w:t>
      </w:r>
      <w:r>
        <w:t>NSS is expected to change with demand. This continues the approach of using</w:t>
      </w:r>
      <w:r w:rsidR="00DE1A2E">
        <w:t xml:space="preserve"> </w:t>
      </w:r>
      <w:r>
        <w:t>a variable NSS assumption which is demand dependent. The curve is then</w:t>
      </w:r>
      <w:r w:rsidR="00DE1A2E">
        <w:t xml:space="preserve"> </w:t>
      </w:r>
      <w:r>
        <w:t>adjusted to meet our assumed NSS at a severe demand level, which is</w:t>
      </w:r>
      <w:r w:rsidR="00DE1A2E">
        <w:t xml:space="preserve"> </w:t>
      </w:r>
      <w:r>
        <w:t xml:space="preserve">established for the upcoming winter. </w:t>
      </w:r>
      <w:r w:rsidRPr="00295D34">
        <w:t xml:space="preserve">For winter </w:t>
      </w:r>
      <w:r w:rsidR="00BD4954">
        <w:t>2024/25</w:t>
      </w:r>
      <w:r w:rsidRPr="00295D34">
        <w:t xml:space="preserve"> we assume </w:t>
      </w:r>
      <w:r w:rsidR="009C53B3">
        <w:t>415</w:t>
      </w:r>
      <w:r w:rsidR="001B4471">
        <w:t xml:space="preserve"> </w:t>
      </w:r>
      <w:r w:rsidRPr="00295D34">
        <w:t>mcm/d of NSS would be</w:t>
      </w:r>
      <w:r w:rsidR="00DE1A2E" w:rsidRPr="00295D34">
        <w:t xml:space="preserve"> </w:t>
      </w:r>
      <w:r w:rsidRPr="00295D34">
        <w:t>available at a demand of 4</w:t>
      </w:r>
      <w:r w:rsidR="009C53B3">
        <w:t>19</w:t>
      </w:r>
      <w:r w:rsidR="001B4471">
        <w:t xml:space="preserve"> </w:t>
      </w:r>
      <w:r w:rsidRPr="00295D34">
        <w:t>mcm/d.</w:t>
      </w:r>
      <w:r>
        <w:t xml:space="preserve"> It is important that the assumed level of NSS</w:t>
      </w:r>
      <w:r w:rsidR="00DE1A2E">
        <w:t xml:space="preserve"> </w:t>
      </w:r>
      <w:r>
        <w:t>used for calculating the Safety Monitor is available throughout the winter, notably</w:t>
      </w:r>
      <w:r w:rsidR="00DE1A2E">
        <w:t xml:space="preserve"> </w:t>
      </w:r>
      <w:r>
        <w:t>at times of high demand. Hence in calculating the Safety Monitor, NSS at lower</w:t>
      </w:r>
      <w:r w:rsidR="00FB350B">
        <w:t xml:space="preserve"> </w:t>
      </w:r>
      <w:r>
        <w:t>levels (98%) are used. There is also the further option to adjust the NSS</w:t>
      </w:r>
      <w:r w:rsidR="00FB350B">
        <w:t xml:space="preserve"> </w:t>
      </w:r>
      <w:r>
        <w:t>assumption by a Winter Risk Factor – for any specific supply issues we feel may</w:t>
      </w:r>
      <w:r w:rsidR="00FB350B">
        <w:t xml:space="preserve"> </w:t>
      </w:r>
      <w:r>
        <w:t>arise during the winter. This winter this factor is zero.</w:t>
      </w:r>
    </w:p>
    <w:p w14:paraId="2271915C" w14:textId="299A2B19" w:rsidR="00E85101" w:rsidRDefault="00E85101" w:rsidP="006114D0">
      <w:r>
        <w:lastRenderedPageBreak/>
        <w:t>Within winter</w:t>
      </w:r>
      <w:r w:rsidR="007C0E0A">
        <w:t>,</w:t>
      </w:r>
      <w:r>
        <w:t xml:space="preserve"> monitoring of actual NSS levels will enable us to determine whether the NSS versus demand relationship used within the Safety Monitor calculation methodology is fit for purpose: if it is found not to be, it can be revised based on the latest information.</w:t>
      </w:r>
    </w:p>
    <w:p w14:paraId="5991F955" w14:textId="77777777" w:rsidR="003906FC" w:rsidRDefault="003906FC" w:rsidP="006114D0"/>
    <w:p w14:paraId="2F47A7CF" w14:textId="7FC1F1F4" w:rsidR="00C87EAB" w:rsidRPr="00991A0B" w:rsidRDefault="00C87EAB" w:rsidP="006114D0">
      <w:r w:rsidRPr="00991A0B">
        <w:t xml:space="preserve">Table 1 shows the anticipated availability of storage in winter </w:t>
      </w:r>
      <w:r w:rsidR="00BD4954" w:rsidRPr="00991A0B">
        <w:t>2024/25</w:t>
      </w:r>
      <w:r w:rsidRPr="00991A0B">
        <w:t>.</w:t>
      </w:r>
    </w:p>
    <w:p w14:paraId="0B8BAA04" w14:textId="77777777" w:rsidR="003E0762" w:rsidRPr="00991A0B" w:rsidRDefault="003E0762" w:rsidP="006114D0"/>
    <w:p w14:paraId="4DC44F73" w14:textId="2BBAE905" w:rsidR="003E0762" w:rsidRPr="00991A0B" w:rsidRDefault="003E0762" w:rsidP="006114D0">
      <w:pPr>
        <w:rPr>
          <w:b/>
          <w:bCs/>
        </w:rPr>
      </w:pPr>
      <w:r w:rsidRPr="00991A0B">
        <w:rPr>
          <w:b/>
          <w:bCs/>
        </w:rPr>
        <w:t>Table 1 – Storage Space and Deliverability Assumptions</w:t>
      </w:r>
    </w:p>
    <w:p w14:paraId="257D7EEE" w14:textId="7751C8BF" w:rsidR="006F7860" w:rsidRPr="00991A0B" w:rsidRDefault="006F7860" w:rsidP="006114D0"/>
    <w:tbl>
      <w:tblPr>
        <w:tblStyle w:val="ListTable6Colorful-Accent2"/>
        <w:tblW w:w="0" w:type="auto"/>
        <w:tblLook w:val="04A0" w:firstRow="1" w:lastRow="0" w:firstColumn="1" w:lastColumn="0" w:noHBand="0" w:noVBand="1"/>
      </w:tblPr>
      <w:tblGrid>
        <w:gridCol w:w="3005"/>
        <w:gridCol w:w="3005"/>
        <w:gridCol w:w="3006"/>
      </w:tblGrid>
      <w:tr w:rsidR="00EA77BD" w:rsidRPr="00991A0B" w14:paraId="3321F97C" w14:textId="77777777" w:rsidTr="00E93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12" w:space="0" w:color="00B2A1" w:themeColor="accent6"/>
              <w:bottom w:val="single" w:sz="12" w:space="0" w:color="00B2A1" w:themeColor="accent6"/>
            </w:tcBorders>
          </w:tcPr>
          <w:p w14:paraId="63A9B8AE" w14:textId="2360AC70" w:rsidR="00EA77BD" w:rsidRPr="00991A0B" w:rsidRDefault="00E9390A" w:rsidP="003E0762">
            <w:pPr>
              <w:spacing w:line="360" w:lineRule="auto"/>
            </w:pPr>
            <w:r w:rsidRPr="00991A0B">
              <w:t>Storage Type</w:t>
            </w:r>
          </w:p>
        </w:tc>
        <w:tc>
          <w:tcPr>
            <w:tcW w:w="3005" w:type="dxa"/>
            <w:tcBorders>
              <w:top w:val="single" w:sz="12" w:space="0" w:color="00B2A1" w:themeColor="accent6"/>
              <w:bottom w:val="single" w:sz="12" w:space="0" w:color="00B2A1" w:themeColor="accent6"/>
            </w:tcBorders>
          </w:tcPr>
          <w:p w14:paraId="011EE473" w14:textId="49CA9D62" w:rsidR="00EA77BD" w:rsidRPr="00991A0B" w:rsidRDefault="00E9390A" w:rsidP="003E0762">
            <w:pPr>
              <w:spacing w:line="360" w:lineRule="auto"/>
              <w:cnfStyle w:val="100000000000" w:firstRow="1" w:lastRow="0" w:firstColumn="0" w:lastColumn="0" w:oddVBand="0" w:evenVBand="0" w:oddHBand="0" w:evenHBand="0" w:firstRowFirstColumn="0" w:firstRowLastColumn="0" w:lastRowFirstColumn="0" w:lastRowLastColumn="0"/>
            </w:pPr>
            <w:r w:rsidRPr="00991A0B">
              <w:t>Space (GWh)</w:t>
            </w:r>
          </w:p>
        </w:tc>
        <w:tc>
          <w:tcPr>
            <w:tcW w:w="3006" w:type="dxa"/>
            <w:tcBorders>
              <w:top w:val="single" w:sz="12" w:space="0" w:color="00B2A1" w:themeColor="accent6"/>
              <w:bottom w:val="single" w:sz="12" w:space="0" w:color="00B2A1" w:themeColor="accent6"/>
            </w:tcBorders>
          </w:tcPr>
          <w:p w14:paraId="192ECAAC" w14:textId="508ECF2F" w:rsidR="00EA77BD" w:rsidRPr="00991A0B" w:rsidRDefault="00E9390A" w:rsidP="003E0762">
            <w:pPr>
              <w:spacing w:line="360" w:lineRule="auto"/>
              <w:cnfStyle w:val="100000000000" w:firstRow="1" w:lastRow="0" w:firstColumn="0" w:lastColumn="0" w:oddVBand="0" w:evenVBand="0" w:oddHBand="0" w:evenHBand="0" w:firstRowFirstColumn="0" w:firstRowLastColumn="0" w:lastRowFirstColumn="0" w:lastRowLastColumn="0"/>
            </w:pPr>
            <w:r w:rsidRPr="00991A0B">
              <w:t>Deliverability (GWh/d)</w:t>
            </w:r>
          </w:p>
        </w:tc>
      </w:tr>
      <w:tr w:rsidR="00EA77BD" w:rsidRPr="00991A0B" w14:paraId="7607DAFA" w14:textId="77777777" w:rsidTr="00E93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12" w:space="0" w:color="00B2A1" w:themeColor="accent6"/>
            </w:tcBorders>
            <w:shd w:val="clear" w:color="auto" w:fill="auto"/>
          </w:tcPr>
          <w:p w14:paraId="396CD696" w14:textId="5E3ACC30" w:rsidR="00E9390A" w:rsidRPr="00991A0B" w:rsidRDefault="00E9390A" w:rsidP="003E0762">
            <w:pPr>
              <w:spacing w:line="360" w:lineRule="auto"/>
            </w:pPr>
            <w:r w:rsidRPr="00991A0B">
              <w:rPr>
                <w:b w:val="0"/>
                <w:bCs w:val="0"/>
              </w:rPr>
              <w:t>Medium (MRS)</w:t>
            </w:r>
          </w:p>
        </w:tc>
        <w:tc>
          <w:tcPr>
            <w:tcW w:w="3005" w:type="dxa"/>
            <w:tcBorders>
              <w:top w:val="single" w:sz="12" w:space="0" w:color="00B2A1" w:themeColor="accent6"/>
            </w:tcBorders>
            <w:shd w:val="clear" w:color="auto" w:fill="auto"/>
          </w:tcPr>
          <w:p w14:paraId="1F711418" w14:textId="76F6E8B2" w:rsidR="00EA77BD" w:rsidRPr="00991A0B" w:rsidRDefault="00541AEB" w:rsidP="00541AEB">
            <w:pPr>
              <w:cnfStyle w:val="000000100000" w:firstRow="0" w:lastRow="0" w:firstColumn="0" w:lastColumn="0" w:oddVBand="0" w:evenVBand="0" w:oddHBand="1" w:evenHBand="0" w:firstRowFirstColumn="0" w:firstRowLastColumn="0" w:lastRowFirstColumn="0" w:lastRowLastColumn="0"/>
              <w:rPr>
                <w:rFonts w:cs="Calibri"/>
                <w:color w:val="000000"/>
                <w:sz w:val="22"/>
              </w:rPr>
            </w:pPr>
            <w:r w:rsidRPr="00991A0B">
              <w:rPr>
                <w:rFonts w:cs="Calibri"/>
                <w:color w:val="000000"/>
                <w:sz w:val="22"/>
              </w:rPr>
              <w:t>1</w:t>
            </w:r>
            <w:r w:rsidR="00B317B3" w:rsidRPr="00991A0B">
              <w:rPr>
                <w:rFonts w:cs="Calibri"/>
                <w:color w:val="000000"/>
                <w:sz w:val="22"/>
              </w:rPr>
              <w:t>8</w:t>
            </w:r>
            <w:r w:rsidR="0030421D" w:rsidRPr="00991A0B">
              <w:rPr>
                <w:rFonts w:cs="Calibri"/>
                <w:color w:val="000000"/>
                <w:sz w:val="22"/>
              </w:rPr>
              <w:t>,</w:t>
            </w:r>
            <w:r w:rsidR="00B317B3" w:rsidRPr="00991A0B">
              <w:rPr>
                <w:rFonts w:cs="Calibri"/>
                <w:color w:val="000000"/>
                <w:sz w:val="22"/>
              </w:rPr>
              <w:t>8</w:t>
            </w:r>
            <w:r w:rsidR="00991A0B" w:rsidRPr="00991A0B">
              <w:rPr>
                <w:rFonts w:cs="Calibri"/>
                <w:color w:val="000000"/>
                <w:sz w:val="22"/>
              </w:rPr>
              <w:t>87</w:t>
            </w:r>
          </w:p>
        </w:tc>
        <w:tc>
          <w:tcPr>
            <w:tcW w:w="3006" w:type="dxa"/>
            <w:tcBorders>
              <w:top w:val="single" w:sz="12" w:space="0" w:color="00B2A1" w:themeColor="accent6"/>
            </w:tcBorders>
            <w:shd w:val="clear" w:color="auto" w:fill="auto"/>
          </w:tcPr>
          <w:p w14:paraId="501CA58C" w14:textId="2B0E07A8" w:rsidR="00EA77BD" w:rsidRPr="00991A0B" w:rsidRDefault="00BF0E8B" w:rsidP="003E0762">
            <w:pPr>
              <w:spacing w:line="360" w:lineRule="auto"/>
              <w:cnfStyle w:val="000000100000" w:firstRow="0" w:lastRow="0" w:firstColumn="0" w:lastColumn="0" w:oddVBand="0" w:evenVBand="0" w:oddHBand="1" w:evenHBand="0" w:firstRowFirstColumn="0" w:firstRowLastColumn="0" w:lastRowFirstColumn="0" w:lastRowLastColumn="0"/>
            </w:pPr>
            <w:r w:rsidRPr="00991A0B">
              <w:t>1,</w:t>
            </w:r>
            <w:r w:rsidR="009B6111" w:rsidRPr="00991A0B">
              <w:t>205</w:t>
            </w:r>
          </w:p>
        </w:tc>
      </w:tr>
      <w:tr w:rsidR="00EA77BD" w:rsidRPr="00991A0B" w14:paraId="2C137B6A" w14:textId="77777777" w:rsidTr="002D217B">
        <w:tc>
          <w:tcPr>
            <w:cnfStyle w:val="001000000000" w:firstRow="0" w:lastRow="0" w:firstColumn="1" w:lastColumn="0" w:oddVBand="0" w:evenVBand="0" w:oddHBand="0" w:evenHBand="0" w:firstRowFirstColumn="0" w:firstRowLastColumn="0" w:lastRowFirstColumn="0" w:lastRowLastColumn="0"/>
            <w:tcW w:w="3005" w:type="dxa"/>
            <w:tcBorders>
              <w:bottom w:val="single" w:sz="8" w:space="0" w:color="00B2A1" w:themeColor="accent6"/>
            </w:tcBorders>
            <w:shd w:val="clear" w:color="auto" w:fill="auto"/>
          </w:tcPr>
          <w:p w14:paraId="266890F9" w14:textId="10BAE475" w:rsidR="00EA77BD" w:rsidRPr="00991A0B" w:rsidRDefault="00E9390A" w:rsidP="003E0762">
            <w:pPr>
              <w:spacing w:line="360" w:lineRule="auto"/>
              <w:rPr>
                <w:b w:val="0"/>
                <w:bCs w:val="0"/>
              </w:rPr>
            </w:pPr>
            <w:r w:rsidRPr="00991A0B">
              <w:rPr>
                <w:b w:val="0"/>
                <w:bCs w:val="0"/>
              </w:rPr>
              <w:t>Long (Rough)</w:t>
            </w:r>
          </w:p>
        </w:tc>
        <w:tc>
          <w:tcPr>
            <w:tcW w:w="3005" w:type="dxa"/>
            <w:tcBorders>
              <w:bottom w:val="single" w:sz="8" w:space="0" w:color="00B2A1" w:themeColor="accent6"/>
            </w:tcBorders>
            <w:shd w:val="clear" w:color="auto" w:fill="auto"/>
          </w:tcPr>
          <w:p w14:paraId="148E6685" w14:textId="7C532E47" w:rsidR="00EA77BD" w:rsidRPr="00991A0B" w:rsidRDefault="00991A0B" w:rsidP="003E0762">
            <w:pPr>
              <w:spacing w:line="360" w:lineRule="auto"/>
              <w:cnfStyle w:val="000000000000" w:firstRow="0" w:lastRow="0" w:firstColumn="0" w:lastColumn="0" w:oddVBand="0" w:evenVBand="0" w:oddHBand="0" w:evenHBand="0" w:firstRowFirstColumn="0" w:firstRowLastColumn="0" w:lastRowFirstColumn="0" w:lastRowLastColumn="0"/>
            </w:pPr>
            <w:r w:rsidRPr="00991A0B">
              <w:t>16,554</w:t>
            </w:r>
          </w:p>
        </w:tc>
        <w:tc>
          <w:tcPr>
            <w:tcW w:w="3006" w:type="dxa"/>
            <w:tcBorders>
              <w:bottom w:val="single" w:sz="8" w:space="0" w:color="00B2A1" w:themeColor="accent6"/>
            </w:tcBorders>
            <w:shd w:val="clear" w:color="auto" w:fill="auto"/>
          </w:tcPr>
          <w:p w14:paraId="35FFA96D" w14:textId="74607923" w:rsidR="00EA77BD" w:rsidRPr="00991A0B" w:rsidRDefault="0089595A" w:rsidP="003E0762">
            <w:pPr>
              <w:spacing w:line="360" w:lineRule="auto"/>
              <w:cnfStyle w:val="000000000000" w:firstRow="0" w:lastRow="0" w:firstColumn="0" w:lastColumn="0" w:oddVBand="0" w:evenVBand="0" w:oddHBand="0" w:evenHBand="0" w:firstRowFirstColumn="0" w:firstRowLastColumn="0" w:lastRowFirstColumn="0" w:lastRowLastColumn="0"/>
            </w:pPr>
            <w:r w:rsidRPr="00991A0B">
              <w:t>125</w:t>
            </w:r>
          </w:p>
        </w:tc>
      </w:tr>
      <w:tr w:rsidR="00EA77BD" w14:paraId="1D30A7F9" w14:textId="77777777" w:rsidTr="002D2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8" w:space="0" w:color="00B2A1" w:themeColor="accent6"/>
              <w:bottom w:val="single" w:sz="12" w:space="0" w:color="00B2A1" w:themeColor="accent6"/>
            </w:tcBorders>
            <w:shd w:val="clear" w:color="auto" w:fill="auto"/>
          </w:tcPr>
          <w:p w14:paraId="0272498F" w14:textId="7AE6DE6C" w:rsidR="00EA77BD" w:rsidRPr="00991A0B" w:rsidRDefault="002D217B" w:rsidP="003E0762">
            <w:pPr>
              <w:spacing w:line="360" w:lineRule="auto"/>
            </w:pPr>
            <w:r w:rsidRPr="00991A0B">
              <w:t>Total</w:t>
            </w:r>
          </w:p>
        </w:tc>
        <w:tc>
          <w:tcPr>
            <w:tcW w:w="3005" w:type="dxa"/>
            <w:tcBorders>
              <w:top w:val="single" w:sz="8" w:space="0" w:color="00B2A1" w:themeColor="accent6"/>
              <w:bottom w:val="single" w:sz="12" w:space="0" w:color="00B2A1" w:themeColor="accent6"/>
            </w:tcBorders>
            <w:shd w:val="clear" w:color="auto" w:fill="auto"/>
          </w:tcPr>
          <w:p w14:paraId="757CA154" w14:textId="334F09F2" w:rsidR="00EA77BD" w:rsidRPr="00991A0B" w:rsidRDefault="00991A0B" w:rsidP="003E0762">
            <w:pPr>
              <w:spacing w:line="360" w:lineRule="auto"/>
              <w:cnfStyle w:val="000000100000" w:firstRow="0" w:lastRow="0" w:firstColumn="0" w:lastColumn="0" w:oddVBand="0" w:evenVBand="0" w:oddHBand="1" w:evenHBand="0" w:firstRowFirstColumn="0" w:firstRowLastColumn="0" w:lastRowFirstColumn="0" w:lastRowLastColumn="0"/>
            </w:pPr>
            <w:r w:rsidRPr="00991A0B">
              <w:t>35,441</w:t>
            </w:r>
          </w:p>
        </w:tc>
        <w:tc>
          <w:tcPr>
            <w:tcW w:w="3006" w:type="dxa"/>
            <w:tcBorders>
              <w:top w:val="single" w:sz="8" w:space="0" w:color="00B2A1" w:themeColor="accent6"/>
              <w:bottom w:val="single" w:sz="12" w:space="0" w:color="00B2A1" w:themeColor="accent6"/>
            </w:tcBorders>
            <w:shd w:val="clear" w:color="auto" w:fill="auto"/>
          </w:tcPr>
          <w:p w14:paraId="4945FE11" w14:textId="15444721" w:rsidR="00EA77BD" w:rsidRPr="0089595A" w:rsidRDefault="00A73223" w:rsidP="003E0762">
            <w:pPr>
              <w:spacing w:line="360" w:lineRule="auto"/>
              <w:cnfStyle w:val="000000100000" w:firstRow="0" w:lastRow="0" w:firstColumn="0" w:lastColumn="0" w:oddVBand="0" w:evenVBand="0" w:oddHBand="1" w:evenHBand="0" w:firstRowFirstColumn="0" w:firstRowLastColumn="0" w:lastRowFirstColumn="0" w:lastRowLastColumn="0"/>
            </w:pPr>
            <w:r w:rsidRPr="00991A0B">
              <w:t>1,</w:t>
            </w:r>
            <w:r w:rsidR="0089595A" w:rsidRPr="00991A0B">
              <w:t>330</w:t>
            </w:r>
          </w:p>
        </w:tc>
      </w:tr>
    </w:tbl>
    <w:p w14:paraId="6D40F9F9" w14:textId="77777777" w:rsidR="00C87EAB" w:rsidRDefault="00C87EAB" w:rsidP="006114D0"/>
    <w:bookmarkEnd w:id="0"/>
    <w:p w14:paraId="5D227CEA" w14:textId="6A9E2828" w:rsidR="00B735B7" w:rsidRDefault="00600D8D" w:rsidP="003723FB">
      <w:pPr>
        <w:pStyle w:val="ChartTitle"/>
        <w:spacing w:before="120" w:after="120"/>
      </w:pPr>
      <w:r>
        <w:t xml:space="preserve">Demand </w:t>
      </w:r>
      <w:r w:rsidR="00CD2F3C">
        <w:t>Assumptions</w:t>
      </w:r>
    </w:p>
    <w:p w14:paraId="49381D73" w14:textId="1FFA9E65" w:rsidR="006F0B41" w:rsidRDefault="006F0B41" w:rsidP="003723FB">
      <w:pPr>
        <w:spacing w:before="120" w:after="120"/>
      </w:pPr>
      <w:r>
        <w:t>The basis for the calculation of the Safety Monitor levels is our 202</w:t>
      </w:r>
      <w:r w:rsidR="00CB4EB5">
        <w:t>4</w:t>
      </w:r>
      <w:r>
        <w:t xml:space="preserve"> demand forecasts for </w:t>
      </w:r>
      <w:r w:rsidR="00BD4954">
        <w:t>2024/25</w:t>
      </w:r>
      <w:r>
        <w:t>, using a severe (1 in 50 cold) load duration curve.</w:t>
      </w:r>
    </w:p>
    <w:p w14:paraId="4D1BA909" w14:textId="6D090F16" w:rsidR="00652B3B" w:rsidRDefault="00652B3B" w:rsidP="003723FB">
      <w:pPr>
        <w:pStyle w:val="ChartTitle"/>
        <w:spacing w:before="120" w:after="120"/>
      </w:pPr>
      <w:r>
        <w:t>Safety Monitor Levels</w:t>
      </w:r>
    </w:p>
    <w:p w14:paraId="2F1FB97B" w14:textId="3676F4BB" w:rsidR="00652B3B" w:rsidRDefault="00652B3B" w:rsidP="003723FB">
      <w:pPr>
        <w:spacing w:before="120" w:after="120"/>
      </w:pPr>
      <w:r>
        <w:t>Table 2 shows the initial Safety Monitor requirements for Space and Deliverability.</w:t>
      </w:r>
    </w:p>
    <w:p w14:paraId="39836228" w14:textId="77777777" w:rsidR="007A1477" w:rsidRDefault="007A1477" w:rsidP="003723FB">
      <w:pPr>
        <w:spacing w:before="120" w:after="120"/>
      </w:pPr>
    </w:p>
    <w:p w14:paraId="76FD6247" w14:textId="2139152A" w:rsidR="007A1477" w:rsidRPr="00991A0B" w:rsidRDefault="007A1477" w:rsidP="003723FB">
      <w:pPr>
        <w:spacing w:before="120" w:after="120"/>
        <w:rPr>
          <w:b/>
          <w:bCs/>
          <w:color w:val="00B2A1" w:themeColor="accent6"/>
        </w:rPr>
      </w:pPr>
      <w:r w:rsidRPr="00991A0B">
        <w:rPr>
          <w:b/>
          <w:bCs/>
          <w:color w:val="00B2A1" w:themeColor="accent6"/>
        </w:rPr>
        <w:t>Table 2 – Stored Safety Gas and Storage Deliverability Requirement</w:t>
      </w:r>
    </w:p>
    <w:p w14:paraId="2BD467CF" w14:textId="77777777" w:rsidR="00652B3B" w:rsidRPr="00991A0B" w:rsidRDefault="00652B3B" w:rsidP="00652B3B"/>
    <w:tbl>
      <w:tblPr>
        <w:tblStyle w:val="ListTable6Colorful-Accent2"/>
        <w:tblW w:w="0" w:type="auto"/>
        <w:tblLook w:val="04A0" w:firstRow="1" w:lastRow="0" w:firstColumn="1" w:lastColumn="0" w:noHBand="0" w:noVBand="1"/>
      </w:tblPr>
      <w:tblGrid>
        <w:gridCol w:w="1328"/>
        <w:gridCol w:w="1200"/>
        <w:gridCol w:w="1619"/>
        <w:gridCol w:w="1651"/>
        <w:gridCol w:w="1614"/>
        <w:gridCol w:w="1614"/>
      </w:tblGrid>
      <w:tr w:rsidR="00600A49" w:rsidRPr="00991A0B" w14:paraId="216E459C" w14:textId="15B687DD" w:rsidTr="00D02E7B">
        <w:trPr>
          <w:cnfStyle w:val="100000000000" w:firstRow="1" w:lastRow="0" w:firstColumn="0" w:lastColumn="0" w:oddVBand="0" w:evenVBand="0" w:oddHBand="0" w:evenHBand="0" w:firstRowFirstColumn="0" w:firstRowLastColumn="0" w:lastRowFirstColumn="0" w:lastRowLastColumn="0"/>
          <w:trHeight w:val="1577"/>
        </w:trPr>
        <w:tc>
          <w:tcPr>
            <w:cnfStyle w:val="001000000000" w:firstRow="0" w:lastRow="0" w:firstColumn="1" w:lastColumn="0" w:oddVBand="0" w:evenVBand="0" w:oddHBand="0" w:evenHBand="0" w:firstRowFirstColumn="0" w:firstRowLastColumn="0" w:lastRowFirstColumn="0" w:lastRowLastColumn="0"/>
            <w:tcW w:w="1328" w:type="dxa"/>
            <w:tcBorders>
              <w:top w:val="single" w:sz="12" w:space="0" w:color="00B2A1" w:themeColor="accent6"/>
              <w:bottom w:val="single" w:sz="12" w:space="0" w:color="00B2A1" w:themeColor="accent6"/>
            </w:tcBorders>
          </w:tcPr>
          <w:p w14:paraId="092313BA" w14:textId="0E0D1527" w:rsidR="00600A49" w:rsidRPr="00991A0B" w:rsidRDefault="00600A49" w:rsidP="00600A49">
            <w:r w:rsidRPr="00991A0B">
              <w:t>Assumed total storage space (GWh)</w:t>
            </w:r>
          </w:p>
        </w:tc>
        <w:tc>
          <w:tcPr>
            <w:tcW w:w="1200" w:type="dxa"/>
            <w:tcBorders>
              <w:top w:val="single" w:sz="12" w:space="0" w:color="00B2A1" w:themeColor="accent6"/>
              <w:bottom w:val="single" w:sz="12" w:space="0" w:color="00B2A1" w:themeColor="accent6"/>
            </w:tcBorders>
          </w:tcPr>
          <w:p w14:paraId="21B87926" w14:textId="43ABB96E" w:rsidR="00600A49" w:rsidRPr="00991A0B" w:rsidRDefault="00600A49" w:rsidP="00600A49">
            <w:pPr>
              <w:cnfStyle w:val="100000000000" w:firstRow="1" w:lastRow="0" w:firstColumn="0" w:lastColumn="0" w:oddVBand="0" w:evenVBand="0" w:oddHBand="0" w:evenHBand="0" w:firstRowFirstColumn="0" w:firstRowLastColumn="0" w:lastRowFirstColumn="0" w:lastRowLastColumn="0"/>
            </w:pPr>
            <w:r w:rsidRPr="00991A0B">
              <w:t>Space (GWh) Safety Monitor (GWh)</w:t>
            </w:r>
          </w:p>
        </w:tc>
        <w:tc>
          <w:tcPr>
            <w:tcW w:w="1619" w:type="dxa"/>
            <w:tcBorders>
              <w:top w:val="single" w:sz="12" w:space="0" w:color="00B2A1" w:themeColor="accent6"/>
              <w:bottom w:val="single" w:sz="12" w:space="0" w:color="00B2A1" w:themeColor="accent6"/>
            </w:tcBorders>
          </w:tcPr>
          <w:p w14:paraId="3D0C7195" w14:textId="62D8AD9B" w:rsidR="00600A49" w:rsidRPr="00991A0B" w:rsidRDefault="00600A49" w:rsidP="00600A49">
            <w:pPr>
              <w:cnfStyle w:val="100000000000" w:firstRow="1" w:lastRow="0" w:firstColumn="0" w:lastColumn="0" w:oddVBand="0" w:evenVBand="0" w:oddHBand="0" w:evenHBand="0" w:firstRowFirstColumn="0" w:firstRowLastColumn="0" w:lastRowFirstColumn="0" w:lastRowLastColumn="0"/>
            </w:pPr>
            <w:r w:rsidRPr="00991A0B">
              <w:rPr>
                <w:u w:val="single"/>
              </w:rPr>
              <w:t xml:space="preserve">Space </w:t>
            </w:r>
            <w:r w:rsidRPr="00991A0B">
              <w:t>requirement (%)</w:t>
            </w:r>
          </w:p>
        </w:tc>
        <w:tc>
          <w:tcPr>
            <w:tcW w:w="1651" w:type="dxa"/>
            <w:tcBorders>
              <w:top w:val="single" w:sz="12" w:space="0" w:color="00B2A1" w:themeColor="accent6"/>
              <w:bottom w:val="single" w:sz="12" w:space="0" w:color="00B2A1" w:themeColor="accent6"/>
            </w:tcBorders>
          </w:tcPr>
          <w:p w14:paraId="48741361" w14:textId="53568B4A" w:rsidR="00600A49" w:rsidRPr="00991A0B" w:rsidRDefault="00600A49" w:rsidP="00600A49">
            <w:pPr>
              <w:cnfStyle w:val="100000000000" w:firstRow="1" w:lastRow="0" w:firstColumn="0" w:lastColumn="0" w:oddVBand="0" w:evenVBand="0" w:oddHBand="0" w:evenHBand="0" w:firstRowFirstColumn="0" w:firstRowLastColumn="0" w:lastRowFirstColumn="0" w:lastRowLastColumn="0"/>
            </w:pPr>
            <w:r w:rsidRPr="00991A0B">
              <w:t>Assumed total storage deliverability (GWh)</w:t>
            </w:r>
          </w:p>
        </w:tc>
        <w:tc>
          <w:tcPr>
            <w:tcW w:w="1614" w:type="dxa"/>
            <w:tcBorders>
              <w:top w:val="single" w:sz="12" w:space="0" w:color="00B2A1" w:themeColor="accent6"/>
              <w:bottom w:val="single" w:sz="12" w:space="0" w:color="00B2A1" w:themeColor="accent6"/>
            </w:tcBorders>
          </w:tcPr>
          <w:p w14:paraId="25726377" w14:textId="62F5E1CD" w:rsidR="00600A49" w:rsidRPr="00991A0B" w:rsidRDefault="00600A49" w:rsidP="00600A49">
            <w:pPr>
              <w:cnfStyle w:val="100000000000" w:firstRow="1" w:lastRow="0" w:firstColumn="0" w:lastColumn="0" w:oddVBand="0" w:evenVBand="0" w:oddHBand="0" w:evenHBand="0" w:firstRowFirstColumn="0" w:firstRowLastColumn="0" w:lastRowFirstColumn="0" w:lastRowLastColumn="0"/>
            </w:pPr>
            <w:r w:rsidRPr="00991A0B">
              <w:rPr>
                <w:u w:val="single"/>
              </w:rPr>
              <w:t>Deliverability</w:t>
            </w:r>
            <w:r w:rsidRPr="00991A0B">
              <w:t xml:space="preserve"> Safety Monitor (GWh/d)</w:t>
            </w:r>
          </w:p>
        </w:tc>
        <w:tc>
          <w:tcPr>
            <w:tcW w:w="1614" w:type="dxa"/>
            <w:tcBorders>
              <w:top w:val="single" w:sz="12" w:space="0" w:color="00B2A1" w:themeColor="accent6"/>
              <w:bottom w:val="single" w:sz="12" w:space="0" w:color="00B2A1" w:themeColor="accent6"/>
            </w:tcBorders>
          </w:tcPr>
          <w:p w14:paraId="1686F8C9" w14:textId="5579AE32" w:rsidR="00600A49" w:rsidRPr="00991A0B" w:rsidRDefault="00600A49" w:rsidP="00600A49">
            <w:pPr>
              <w:cnfStyle w:val="100000000000" w:firstRow="1" w:lastRow="0" w:firstColumn="0" w:lastColumn="0" w:oddVBand="0" w:evenVBand="0" w:oddHBand="0" w:evenHBand="0" w:firstRowFirstColumn="0" w:firstRowLastColumn="0" w:lastRowFirstColumn="0" w:lastRowLastColumn="0"/>
            </w:pPr>
            <w:r w:rsidRPr="00991A0B">
              <w:t>Deliverability requirement (%)</w:t>
            </w:r>
          </w:p>
        </w:tc>
      </w:tr>
      <w:tr w:rsidR="00600A49" w14:paraId="67DE4992" w14:textId="32D75132" w:rsidTr="00D0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Borders>
              <w:top w:val="single" w:sz="8" w:space="0" w:color="00B2A1" w:themeColor="accent6"/>
              <w:bottom w:val="single" w:sz="12" w:space="0" w:color="00B2A1" w:themeColor="accent6"/>
            </w:tcBorders>
            <w:shd w:val="clear" w:color="auto" w:fill="auto"/>
          </w:tcPr>
          <w:p w14:paraId="519ABAFB" w14:textId="6E4C9AFF" w:rsidR="00600A49" w:rsidRPr="00991A0B" w:rsidRDefault="00991A0B" w:rsidP="00F762E1">
            <w:pPr>
              <w:spacing w:line="360" w:lineRule="auto"/>
            </w:pPr>
            <w:r>
              <w:t>35,441</w:t>
            </w:r>
          </w:p>
        </w:tc>
        <w:tc>
          <w:tcPr>
            <w:tcW w:w="1200" w:type="dxa"/>
            <w:tcBorders>
              <w:top w:val="single" w:sz="8" w:space="0" w:color="00B2A1" w:themeColor="accent6"/>
              <w:bottom w:val="single" w:sz="12" w:space="0" w:color="00B2A1" w:themeColor="accent6"/>
            </w:tcBorders>
            <w:shd w:val="clear" w:color="auto" w:fill="auto"/>
          </w:tcPr>
          <w:p w14:paraId="380411F1" w14:textId="741C45FB" w:rsidR="00600A49" w:rsidRPr="00991A0B" w:rsidRDefault="003723FB" w:rsidP="00F762E1">
            <w:pPr>
              <w:spacing w:line="360" w:lineRule="auto"/>
              <w:cnfStyle w:val="000000100000" w:firstRow="0" w:lastRow="0" w:firstColumn="0" w:lastColumn="0" w:oddVBand="0" w:evenVBand="0" w:oddHBand="1" w:evenHBand="0" w:firstRowFirstColumn="0" w:firstRowLastColumn="0" w:lastRowFirstColumn="0" w:lastRowLastColumn="0"/>
            </w:pPr>
            <w:r w:rsidRPr="00991A0B">
              <w:t>0</w:t>
            </w:r>
          </w:p>
        </w:tc>
        <w:tc>
          <w:tcPr>
            <w:tcW w:w="1619" w:type="dxa"/>
            <w:tcBorders>
              <w:top w:val="single" w:sz="8" w:space="0" w:color="00B2A1" w:themeColor="accent6"/>
              <w:bottom w:val="single" w:sz="12" w:space="0" w:color="00B2A1" w:themeColor="accent6"/>
            </w:tcBorders>
            <w:shd w:val="clear" w:color="auto" w:fill="auto"/>
          </w:tcPr>
          <w:p w14:paraId="0F310D77" w14:textId="7630826D" w:rsidR="00600A49" w:rsidRPr="00991A0B" w:rsidRDefault="003723FB" w:rsidP="00F762E1">
            <w:pPr>
              <w:spacing w:line="360" w:lineRule="auto"/>
              <w:cnfStyle w:val="000000100000" w:firstRow="0" w:lastRow="0" w:firstColumn="0" w:lastColumn="0" w:oddVBand="0" w:evenVBand="0" w:oddHBand="1" w:evenHBand="0" w:firstRowFirstColumn="0" w:firstRowLastColumn="0" w:lastRowFirstColumn="0" w:lastRowLastColumn="0"/>
            </w:pPr>
            <w:r w:rsidRPr="00991A0B">
              <w:t>0%</w:t>
            </w:r>
          </w:p>
        </w:tc>
        <w:tc>
          <w:tcPr>
            <w:tcW w:w="1651" w:type="dxa"/>
            <w:tcBorders>
              <w:top w:val="single" w:sz="8" w:space="0" w:color="00B2A1" w:themeColor="accent6"/>
              <w:bottom w:val="single" w:sz="12" w:space="0" w:color="00B2A1" w:themeColor="accent6"/>
            </w:tcBorders>
            <w:shd w:val="clear" w:color="auto" w:fill="auto"/>
          </w:tcPr>
          <w:p w14:paraId="5EC5366A" w14:textId="1F7225FD" w:rsidR="00600A49" w:rsidRPr="00991A0B" w:rsidRDefault="00D94BA3" w:rsidP="00F762E1">
            <w:pPr>
              <w:spacing w:line="360" w:lineRule="auto"/>
              <w:cnfStyle w:val="000000100000" w:firstRow="0" w:lastRow="0" w:firstColumn="0" w:lastColumn="0" w:oddVBand="0" w:evenVBand="0" w:oddHBand="1" w:evenHBand="0" w:firstRowFirstColumn="0" w:firstRowLastColumn="0" w:lastRowFirstColumn="0" w:lastRowLastColumn="0"/>
            </w:pPr>
            <w:r w:rsidRPr="00991A0B">
              <w:t>1,</w:t>
            </w:r>
            <w:r w:rsidR="007F6995" w:rsidRPr="00991A0B">
              <w:t>330</w:t>
            </w:r>
          </w:p>
        </w:tc>
        <w:tc>
          <w:tcPr>
            <w:tcW w:w="1614" w:type="dxa"/>
            <w:tcBorders>
              <w:top w:val="single" w:sz="8" w:space="0" w:color="00B2A1" w:themeColor="accent6"/>
              <w:bottom w:val="single" w:sz="12" w:space="0" w:color="00B2A1" w:themeColor="accent6"/>
            </w:tcBorders>
            <w:shd w:val="clear" w:color="auto" w:fill="auto"/>
          </w:tcPr>
          <w:p w14:paraId="701824B8" w14:textId="743512D9" w:rsidR="00600A49" w:rsidRPr="00991A0B" w:rsidRDefault="003723FB" w:rsidP="00F762E1">
            <w:pPr>
              <w:spacing w:line="360" w:lineRule="auto"/>
              <w:cnfStyle w:val="000000100000" w:firstRow="0" w:lastRow="0" w:firstColumn="0" w:lastColumn="0" w:oddVBand="0" w:evenVBand="0" w:oddHBand="1" w:evenHBand="0" w:firstRowFirstColumn="0" w:firstRowLastColumn="0" w:lastRowFirstColumn="0" w:lastRowLastColumn="0"/>
            </w:pPr>
            <w:r w:rsidRPr="00991A0B">
              <w:t>0</w:t>
            </w:r>
          </w:p>
        </w:tc>
        <w:tc>
          <w:tcPr>
            <w:tcW w:w="1614" w:type="dxa"/>
            <w:tcBorders>
              <w:top w:val="single" w:sz="8" w:space="0" w:color="00B2A1" w:themeColor="accent6"/>
              <w:bottom w:val="single" w:sz="12" w:space="0" w:color="00B2A1" w:themeColor="accent6"/>
            </w:tcBorders>
            <w:shd w:val="clear" w:color="auto" w:fill="auto"/>
          </w:tcPr>
          <w:p w14:paraId="0952AAC8" w14:textId="46BB6AC8" w:rsidR="00600A49" w:rsidRPr="007F6995" w:rsidRDefault="003723FB" w:rsidP="00F762E1">
            <w:pPr>
              <w:spacing w:line="360" w:lineRule="auto"/>
              <w:cnfStyle w:val="000000100000" w:firstRow="0" w:lastRow="0" w:firstColumn="0" w:lastColumn="0" w:oddVBand="0" w:evenVBand="0" w:oddHBand="1" w:evenHBand="0" w:firstRowFirstColumn="0" w:firstRowLastColumn="0" w:lastRowFirstColumn="0" w:lastRowLastColumn="0"/>
            </w:pPr>
            <w:r w:rsidRPr="00991A0B">
              <w:t>0%</w:t>
            </w:r>
          </w:p>
        </w:tc>
      </w:tr>
    </w:tbl>
    <w:p w14:paraId="2FB28069" w14:textId="3CE17494" w:rsidR="00652B3B" w:rsidRDefault="00652B3B" w:rsidP="00652B3B"/>
    <w:p w14:paraId="0C722D66" w14:textId="2B6250E6" w:rsidR="00955936" w:rsidRDefault="00823DD8" w:rsidP="00652B3B">
      <w:r>
        <w:t xml:space="preserve">The Safety Monitor space and deliverability requirements for Winter </w:t>
      </w:r>
      <w:r w:rsidR="00BD4954">
        <w:t>2024/25</w:t>
      </w:r>
      <w:r>
        <w:t xml:space="preserve"> are in line with last year’s requirements. </w:t>
      </w:r>
    </w:p>
    <w:p w14:paraId="45934491" w14:textId="3A3D850F" w:rsidR="00823DD8" w:rsidRDefault="00823DD8" w:rsidP="003C2A8F">
      <w:pPr>
        <w:pStyle w:val="ChartTitle"/>
        <w:spacing w:before="120" w:after="120"/>
      </w:pPr>
      <w:r>
        <w:t>Monitor Profiles</w:t>
      </w:r>
    </w:p>
    <w:p w14:paraId="7AE64BAA" w14:textId="5BD4B5AF" w:rsidR="003D5B69" w:rsidRDefault="00A44C13" w:rsidP="00410B37">
      <w:pPr>
        <w:spacing w:before="120" w:after="120"/>
      </w:pPr>
      <w:r>
        <w:t xml:space="preserve">Figure 2 shows the space profile and deliverability profile for the Safety Monitor. The objective of the Safety Monitor profile is to identify at any point in time the requirement for gas in store to underpin the safe operation of the gas transportation system for what remains of the winter period. The Safety Monitor allows for the possibility of late winter cold weather patterns based on analysis of historical </w:t>
      </w:r>
      <w:r>
        <w:lastRenderedPageBreak/>
        <w:t>temperatures. However, in the event of cold weather earlier in the winter, the profiles may be reduced to reflect the occurrence of cold weather.</w:t>
      </w:r>
    </w:p>
    <w:p w14:paraId="5928BAC7" w14:textId="77777777" w:rsidR="00985279" w:rsidRDefault="00985279" w:rsidP="00410B37">
      <w:pPr>
        <w:spacing w:before="120" w:after="120"/>
      </w:pPr>
    </w:p>
    <w:p w14:paraId="491B7606" w14:textId="7BA08419" w:rsidR="00A44C13" w:rsidRPr="008C106F" w:rsidRDefault="00410B37" w:rsidP="00410B37">
      <w:pPr>
        <w:spacing w:before="120" w:after="120"/>
        <w:rPr>
          <w:b/>
          <w:bCs/>
          <w:color w:val="00B2A1" w:themeColor="accent6"/>
        </w:rPr>
      </w:pPr>
      <w:r w:rsidRPr="008C106F">
        <w:rPr>
          <w:b/>
          <w:bCs/>
          <w:color w:val="00B2A1" w:themeColor="accent6"/>
        </w:rPr>
        <w:t>Figure 2: Safety Monitor Profile</w:t>
      </w:r>
    </w:p>
    <w:p w14:paraId="1AD3FD00" w14:textId="647E5298" w:rsidR="00A44C13" w:rsidRDefault="004A3D5E" w:rsidP="00410B37">
      <w:pPr>
        <w:spacing w:before="120" w:after="120"/>
      </w:pPr>
      <w:r>
        <w:rPr>
          <w:noProof/>
        </w:rPr>
        <w:drawing>
          <wp:inline distT="0" distB="0" distL="0" distR="0" wp14:anchorId="3E51E26E" wp14:editId="5FD65F93">
            <wp:extent cx="5410200" cy="2916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1208" cy="2922421"/>
                    </a:xfrm>
                    <a:prstGeom prst="rect">
                      <a:avLst/>
                    </a:prstGeom>
                    <a:noFill/>
                  </pic:spPr>
                </pic:pic>
              </a:graphicData>
            </a:graphic>
          </wp:inline>
        </w:drawing>
      </w:r>
    </w:p>
    <w:p w14:paraId="69CB0C45" w14:textId="77777777" w:rsidR="001C7557" w:rsidRDefault="001C7557" w:rsidP="00410B37">
      <w:pPr>
        <w:pStyle w:val="ChartTitle"/>
        <w:spacing w:before="120" w:after="120"/>
      </w:pPr>
    </w:p>
    <w:p w14:paraId="7975F5AE" w14:textId="3C5025E8" w:rsidR="00A44C13" w:rsidRDefault="00A44C13" w:rsidP="00410B37">
      <w:pPr>
        <w:pStyle w:val="ChartTitle"/>
        <w:spacing w:before="120" w:after="120"/>
      </w:pPr>
      <w:r>
        <w:t>Notes on Demand Assumptions</w:t>
      </w:r>
    </w:p>
    <w:p w14:paraId="3979C7C3" w14:textId="1726CA00" w:rsidR="0094420C" w:rsidRDefault="0094420C" w:rsidP="00A44C13">
      <w:r>
        <w:t>National G</w:t>
      </w:r>
      <w:r w:rsidR="003172CB">
        <w:t>as Transmission</w:t>
      </w:r>
      <w:r>
        <w:t xml:space="preserve"> forecasts both diversified demand and undiversified demand. The diversified peak day is the peak day for the whole country, whilst the undiversified peak day is the peak day for each area of the country added together. For planning and investing in the network, National G</w:t>
      </w:r>
      <w:r w:rsidR="003172CB">
        <w:t>as Transmission</w:t>
      </w:r>
      <w:r>
        <w:t xml:space="preserve"> uses 1 in 20 peak day undiversified demand conditions (in addition to analysing other less severe weather conditions). This allows for the fact that there is no single profile of demand across the country associated with a 1 in 20 cold peak day, and therefore ensures sufficient transportation capacity is available to meet 1 in 20 demands under a range of conditions.</w:t>
      </w:r>
    </w:p>
    <w:p w14:paraId="257A5FFD" w14:textId="285BF88C" w:rsidR="001C05AC" w:rsidRDefault="0094420C" w:rsidP="00CA7397">
      <w:pPr>
        <w:sectPr w:rsidR="001C05AC" w:rsidSect="004C4668">
          <w:headerReference w:type="default" r:id="rId14"/>
          <w:footerReference w:type="default" r:id="rId15"/>
          <w:pgSz w:w="11906" w:h="16838"/>
          <w:pgMar w:top="1440" w:right="1440" w:bottom="1440" w:left="1440" w:header="397" w:footer="794" w:gutter="0"/>
          <w:cols w:space="708"/>
          <w:docGrid w:linePitch="360"/>
        </w:sectPr>
      </w:pPr>
      <w:r>
        <w:t>For security planning including Safety Monitors, National G</w:t>
      </w:r>
      <w:r w:rsidR="003C2A8F">
        <w:t xml:space="preserve">as Transmission </w:t>
      </w:r>
      <w:r>
        <w:t>uses diversified demand forecasts, which is the appropriate basis for assessing the balance between supply and demand on a national basis.</w:t>
      </w:r>
    </w:p>
    <w:p w14:paraId="62C127E0" w14:textId="77777777" w:rsidR="001C05AC" w:rsidRPr="001C05AC" w:rsidRDefault="001C05AC" w:rsidP="00234259">
      <w:pPr>
        <w:pStyle w:val="ChartTitle"/>
      </w:pPr>
      <w:r w:rsidRPr="001C05AC">
        <w:lastRenderedPageBreak/>
        <w:t>Contact:</w:t>
      </w:r>
    </w:p>
    <w:p w14:paraId="2723BAB5" w14:textId="4F2153D5" w:rsidR="001C05AC" w:rsidRDefault="006F1D23" w:rsidP="007E7EB6">
      <w:pPr>
        <w:spacing w:beforeLines="120" w:before="288" w:afterLines="120" w:after="288" w:line="240" w:lineRule="auto"/>
      </w:pPr>
      <w:r>
        <w:t>Emergency &amp; Incide</w:t>
      </w:r>
      <w:r w:rsidR="00A322CF">
        <w:t>nt Framework Team</w:t>
      </w:r>
    </w:p>
    <w:p w14:paraId="20BE6EAC" w14:textId="77ED7208" w:rsidR="001C05AC" w:rsidRDefault="00A322CF" w:rsidP="007E7EB6">
      <w:pPr>
        <w:spacing w:beforeLines="120" w:before="288" w:afterLines="120" w:after="288" w:line="240" w:lineRule="auto"/>
      </w:pPr>
      <w:r>
        <w:t>Gas System Operations</w:t>
      </w:r>
    </w:p>
    <w:p w14:paraId="44A889CF" w14:textId="069D162E" w:rsidR="001C05AC" w:rsidRDefault="00A322CF" w:rsidP="007E7EB6">
      <w:pPr>
        <w:spacing w:beforeLines="120" w:before="288" w:afterLines="120" w:after="288" w:line="240" w:lineRule="auto"/>
      </w:pPr>
      <w:r>
        <w:t>National Gas Transmission</w:t>
      </w:r>
    </w:p>
    <w:p w14:paraId="0907D1D5" w14:textId="43EC9AD8" w:rsidR="003507A1" w:rsidRDefault="00BC5CF4" w:rsidP="007E7EB6">
      <w:pPr>
        <w:spacing w:beforeLines="120" w:before="288" w:afterLines="120" w:after="288" w:line="240" w:lineRule="auto"/>
      </w:pPr>
      <w:r>
        <w:t>Warwick Technology Park</w:t>
      </w:r>
    </w:p>
    <w:p w14:paraId="399293C2" w14:textId="33BBDA13" w:rsidR="003507A1" w:rsidRDefault="003507A1" w:rsidP="007E7EB6">
      <w:pPr>
        <w:spacing w:beforeLines="120" w:before="288" w:afterLines="120" w:after="288" w:line="240" w:lineRule="auto"/>
      </w:pPr>
      <w:r>
        <w:t>Gallows Hill</w:t>
      </w:r>
    </w:p>
    <w:p w14:paraId="4449B5DC" w14:textId="03334555" w:rsidR="003507A1" w:rsidRDefault="003507A1" w:rsidP="007E7EB6">
      <w:pPr>
        <w:spacing w:beforeLines="120" w:before="288" w:afterLines="120" w:after="288" w:line="240" w:lineRule="auto"/>
      </w:pPr>
      <w:r>
        <w:t>Warwick</w:t>
      </w:r>
    </w:p>
    <w:p w14:paraId="4CEF8185" w14:textId="2817B934" w:rsidR="003507A1" w:rsidRDefault="003507A1" w:rsidP="007E7EB6">
      <w:pPr>
        <w:spacing w:beforeLines="120" w:before="288" w:afterLines="120" w:after="288" w:line="240" w:lineRule="auto"/>
      </w:pPr>
      <w:r>
        <w:t>CV34</w:t>
      </w:r>
      <w:r w:rsidR="00BC5CF4">
        <w:t xml:space="preserve"> 6DA</w:t>
      </w:r>
    </w:p>
    <w:p w14:paraId="10BBB56D" w14:textId="73A1577C" w:rsidR="001C05AC" w:rsidRDefault="001C05AC" w:rsidP="007E7EB6">
      <w:pPr>
        <w:spacing w:beforeLines="120" w:before="288" w:afterLines="120" w:after="288" w:line="240" w:lineRule="auto"/>
      </w:pPr>
      <w:r>
        <w:t xml:space="preserve">E: </w:t>
      </w:r>
      <w:hyperlink r:id="rId16" w:history="1">
        <w:r w:rsidR="00234259" w:rsidRPr="007D64E8">
          <w:rPr>
            <w:rStyle w:val="Hyperlink"/>
          </w:rPr>
          <w:t>gasops.emergencyplanning@nationalgas.com</w:t>
        </w:r>
      </w:hyperlink>
    </w:p>
    <w:p w14:paraId="0C2BC74E" w14:textId="77777777" w:rsidR="001C05AC" w:rsidRDefault="001C05AC" w:rsidP="007E7EB6">
      <w:pPr>
        <w:spacing w:beforeLines="120" w:before="288" w:afterLines="120" w:after="288" w:line="240" w:lineRule="auto"/>
        <w:rPr>
          <w:b/>
          <w:bCs/>
        </w:rPr>
      </w:pPr>
    </w:p>
    <w:p w14:paraId="0689B15D" w14:textId="77777777" w:rsidR="001C05AC" w:rsidRPr="001C05AC" w:rsidRDefault="001C05AC" w:rsidP="007E7EB6">
      <w:pPr>
        <w:spacing w:beforeLines="120" w:before="288" w:afterLines="120" w:after="288" w:line="240" w:lineRule="auto"/>
        <w:rPr>
          <w:b/>
          <w:bCs/>
        </w:rPr>
      </w:pPr>
      <w:r w:rsidRPr="001C05AC">
        <w:rPr>
          <w:b/>
          <w:bCs/>
        </w:rPr>
        <w:t>nationalgas.com</w:t>
      </w:r>
    </w:p>
    <w:sectPr w:rsidR="001C05AC" w:rsidRPr="001C05AC" w:rsidSect="00503D9C">
      <w:footerReference w:type="default" r:id="rId17"/>
      <w:pgSz w:w="11906" w:h="16838"/>
      <w:pgMar w:top="794" w:right="851" w:bottom="1418" w:left="851" w:header="39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11E6" w14:textId="77777777" w:rsidR="00630875" w:rsidRDefault="00630875" w:rsidP="00DF0CF2">
      <w:pPr>
        <w:spacing w:line="240" w:lineRule="auto"/>
      </w:pPr>
      <w:r>
        <w:separator/>
      </w:r>
    </w:p>
  </w:endnote>
  <w:endnote w:type="continuationSeparator" w:id="0">
    <w:p w14:paraId="653757D9" w14:textId="77777777" w:rsidR="00630875" w:rsidRDefault="00630875" w:rsidP="00DF0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altName w:val="Tenorite"/>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6F3C" w14:textId="77777777" w:rsidR="00A14091" w:rsidRPr="00503D9C" w:rsidRDefault="00A14091" w:rsidP="001B0D79">
    <w:pPr>
      <w:pStyle w:val="FooterRule"/>
    </w:pPr>
  </w:p>
  <w:p w14:paraId="73A3314D" w14:textId="6427BB06" w:rsidR="00A14091" w:rsidRPr="00503D9C" w:rsidRDefault="00A14091" w:rsidP="00503D9C">
    <w:pPr>
      <w:pStyle w:val="Footer"/>
      <w:tabs>
        <w:tab w:val="clear" w:pos="4513"/>
        <w:tab w:val="clear" w:pos="9026"/>
        <w:tab w:val="right" w:pos="10204"/>
      </w:tabs>
      <w:rPr>
        <w:sz w:val="14"/>
        <w:szCs w:val="12"/>
      </w:rPr>
    </w:pPr>
    <w:r w:rsidRPr="00503D9C">
      <w:rPr>
        <w:b/>
        <w:bCs/>
        <w:sz w:val="16"/>
        <w:szCs w:val="16"/>
      </w:rPr>
      <w:t xml:space="preserve">National Gas Transmission </w:t>
    </w:r>
    <w:r w:rsidRPr="00503D9C">
      <w:rPr>
        <w:sz w:val="14"/>
        <w:szCs w:val="12"/>
      </w:rPr>
      <w:t xml:space="preserve"> |  </w:t>
    </w:r>
    <w:r w:rsidR="001B0D79">
      <w:rPr>
        <w:sz w:val="14"/>
        <w:szCs w:val="12"/>
      </w:rPr>
      <w:fldChar w:fldCharType="begin"/>
    </w:r>
    <w:r w:rsidR="001B0D79">
      <w:rPr>
        <w:sz w:val="14"/>
        <w:szCs w:val="12"/>
      </w:rPr>
      <w:instrText xml:space="preserve"> STYLEREF  "Report Title"  \* MERGEFORMAT </w:instrText>
    </w:r>
    <w:r w:rsidR="001B0D79">
      <w:rPr>
        <w:sz w:val="14"/>
        <w:szCs w:val="12"/>
      </w:rPr>
      <w:fldChar w:fldCharType="separate"/>
    </w:r>
    <w:r w:rsidR="00222B45">
      <w:rPr>
        <w:noProof/>
        <w:sz w:val="14"/>
        <w:szCs w:val="12"/>
      </w:rPr>
      <w:t>Safety Monitor Requirements 2024/25</w:t>
    </w:r>
    <w:r w:rsidR="001B0D79">
      <w:rPr>
        <w:sz w:val="14"/>
        <w:szCs w:val="12"/>
      </w:rPr>
      <w:fldChar w:fldCharType="end"/>
    </w:r>
    <w:r w:rsidR="001B0D79">
      <w:rPr>
        <w:sz w:val="14"/>
        <w:szCs w:val="12"/>
      </w:rPr>
      <w:t xml:space="preserve">  |  </w:t>
    </w:r>
    <w:r w:rsidR="000D7D8F">
      <w:rPr>
        <w:sz w:val="14"/>
        <w:szCs w:val="12"/>
      </w:rPr>
      <w:fldChar w:fldCharType="begin"/>
    </w:r>
    <w:r w:rsidR="000D7D8F">
      <w:rPr>
        <w:sz w:val="14"/>
        <w:szCs w:val="12"/>
      </w:rPr>
      <w:instrText xml:space="preserve"> STYLEREF  "Cover Date"  \* MERGEFORMAT </w:instrText>
    </w:r>
    <w:r w:rsidR="000D7D8F">
      <w:rPr>
        <w:sz w:val="14"/>
        <w:szCs w:val="12"/>
      </w:rPr>
      <w:fldChar w:fldCharType="separate"/>
    </w:r>
    <w:r w:rsidR="00222B45">
      <w:rPr>
        <w:noProof/>
        <w:sz w:val="14"/>
        <w:szCs w:val="12"/>
      </w:rPr>
      <w:t>October 2024</w:t>
    </w:r>
    <w:r w:rsidR="000D7D8F">
      <w:rPr>
        <w:sz w:val="14"/>
        <w:szCs w:val="12"/>
      </w:rPr>
      <w:fldChar w:fldCharType="end"/>
    </w:r>
    <w:r>
      <w:rPr>
        <w:sz w:val="14"/>
        <w:szCs w:val="12"/>
      </w:rPr>
      <w:tab/>
    </w:r>
    <w:r>
      <w:rPr>
        <w:sz w:val="14"/>
        <w:szCs w:val="12"/>
      </w:rPr>
      <w:fldChar w:fldCharType="begin"/>
    </w:r>
    <w:r>
      <w:rPr>
        <w:sz w:val="14"/>
        <w:szCs w:val="12"/>
      </w:rPr>
      <w:instrText xml:space="preserve"> PAGE   \* MERGEFORMAT </w:instrText>
    </w:r>
    <w:r>
      <w:rPr>
        <w:sz w:val="14"/>
        <w:szCs w:val="12"/>
      </w:rPr>
      <w:fldChar w:fldCharType="separate"/>
    </w:r>
    <w:r>
      <w:rPr>
        <w:noProof/>
        <w:sz w:val="14"/>
        <w:szCs w:val="12"/>
      </w:rPr>
      <w:t>1</w:t>
    </w:r>
    <w:r>
      <w:rPr>
        <w:sz w:val="14"/>
        <w:szCs w:val="12"/>
      </w:rPr>
      <w:fldChar w:fldCharType="end"/>
    </w:r>
    <w:r>
      <w:rPr>
        <w:sz w:val="14"/>
        <w:szCs w:val="12"/>
      </w:rPr>
      <w:t>/</w:t>
    </w:r>
    <w:r>
      <w:rPr>
        <w:sz w:val="14"/>
        <w:szCs w:val="12"/>
      </w:rPr>
      <w:fldChar w:fldCharType="begin"/>
    </w:r>
    <w:r>
      <w:rPr>
        <w:sz w:val="14"/>
        <w:szCs w:val="12"/>
      </w:rPr>
      <w:instrText xml:space="preserve"> NUMPAGES   \* MERGEFORMAT </w:instrText>
    </w:r>
    <w:r>
      <w:rPr>
        <w:sz w:val="14"/>
        <w:szCs w:val="12"/>
      </w:rPr>
      <w:fldChar w:fldCharType="separate"/>
    </w:r>
    <w:r>
      <w:rPr>
        <w:noProof/>
        <w:sz w:val="14"/>
        <w:szCs w:val="12"/>
      </w:rPr>
      <w:t>1</w:t>
    </w:r>
    <w:r>
      <w:rPr>
        <w:sz w:val="14"/>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2E32" w14:textId="77777777" w:rsidR="001C05AC" w:rsidRPr="001C05AC" w:rsidRDefault="001C05AC" w:rsidP="001C05AC">
    <w:pPr>
      <w:pStyle w:val="Footer"/>
    </w:pPr>
    <w:r w:rsidRPr="001C05AC">
      <w:rPr>
        <w:noProof/>
      </w:rPr>
      <w:drawing>
        <wp:inline distT="0" distB="0" distL="0" distR="0" wp14:anchorId="34FD51C6" wp14:editId="7536E594">
          <wp:extent cx="2451100" cy="665457"/>
          <wp:effectExtent l="0" t="0" r="6350" b="1905"/>
          <wp:docPr id="12"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83093" cy="6741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36C9" w14:textId="77777777" w:rsidR="00630875" w:rsidRDefault="00630875" w:rsidP="00DF0CF2">
      <w:pPr>
        <w:spacing w:line="240" w:lineRule="auto"/>
      </w:pPr>
      <w:r>
        <w:separator/>
      </w:r>
    </w:p>
  </w:footnote>
  <w:footnote w:type="continuationSeparator" w:id="0">
    <w:p w14:paraId="5AC283A8" w14:textId="77777777" w:rsidR="00630875" w:rsidRDefault="00630875" w:rsidP="00DF0C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59AC" w14:textId="77777777" w:rsidR="00DF0CF2" w:rsidRDefault="00520D33" w:rsidP="00BB7810">
    <w:pPr>
      <w:pStyle w:val="Header"/>
      <w:spacing w:after="2520"/>
    </w:pPr>
    <w:r>
      <w:rPr>
        <w:noProof/>
      </w:rPr>
      <w:drawing>
        <wp:anchor distT="0" distB="0" distL="114300" distR="114300" simplePos="0" relativeHeight="251659264" behindDoc="1" locked="1" layoutInCell="1" allowOverlap="1" wp14:anchorId="4B637499" wp14:editId="417CFAEE">
          <wp:simplePos x="0" y="0"/>
          <wp:positionH relativeFrom="page">
            <wp:align>left</wp:align>
          </wp:positionH>
          <wp:positionV relativeFrom="page">
            <wp:align>top</wp:align>
          </wp:positionV>
          <wp:extent cx="7559675" cy="10682605"/>
          <wp:effectExtent l="0" t="0" r="317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3076"/>
                  </a:xfrm>
                  <a:prstGeom prst="rect">
                    <a:avLst/>
                  </a:prstGeom>
                </pic:spPr>
              </pic:pic>
            </a:graphicData>
          </a:graphic>
          <wp14:sizeRelH relativeFrom="page">
            <wp14:pctWidth>0</wp14:pctWidth>
          </wp14:sizeRelH>
          <wp14:sizeRelV relativeFrom="page">
            <wp14:pctHeight>0</wp14:pctHeight>
          </wp14:sizeRelV>
        </wp:anchor>
      </w:drawing>
    </w:r>
    <w:r w:rsidR="00BB7810">
      <w:rPr>
        <w:noProof/>
      </w:rPr>
      <w:drawing>
        <wp:anchor distT="0" distB="0" distL="114300" distR="114300" simplePos="0" relativeHeight="251665408" behindDoc="0" locked="1" layoutInCell="1" allowOverlap="1" wp14:anchorId="72B36522" wp14:editId="673BC009">
          <wp:simplePos x="0" y="0"/>
          <wp:positionH relativeFrom="page">
            <wp:align>right</wp:align>
          </wp:positionH>
          <wp:positionV relativeFrom="page">
            <wp:align>bottom</wp:align>
          </wp:positionV>
          <wp:extent cx="3459600" cy="6858000"/>
          <wp:effectExtent l="0" t="0" r="762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t="-1" r="19046" b="9994"/>
                  <a:stretch/>
                </pic:blipFill>
                <pic:spPr bwMode="auto">
                  <a:xfrm>
                    <a:off x="0" y="0"/>
                    <a:ext cx="34596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091" w:rsidRPr="00A14091">
      <w:rPr>
        <w:noProof/>
      </w:rPr>
      <w:drawing>
        <wp:anchor distT="0" distB="0" distL="114300" distR="114300" simplePos="0" relativeHeight="251660288" behindDoc="0" locked="1" layoutInCell="1" allowOverlap="1" wp14:anchorId="7A430EAE" wp14:editId="79971B40">
          <wp:simplePos x="0" y="0"/>
          <wp:positionH relativeFrom="page">
            <wp:posOffset>540385</wp:posOffset>
          </wp:positionH>
          <wp:positionV relativeFrom="page">
            <wp:posOffset>525780</wp:posOffset>
          </wp:positionV>
          <wp:extent cx="2408400" cy="651600"/>
          <wp:effectExtent l="0" t="0" r="0" b="0"/>
          <wp:wrapNone/>
          <wp:docPr id="8" name="Graphic 7">
            <a:extLst xmlns:a="http://schemas.openxmlformats.org/drawingml/2006/main">
              <a:ext uri="{FF2B5EF4-FFF2-40B4-BE49-F238E27FC236}">
                <a16:creationId xmlns:a16="http://schemas.microsoft.com/office/drawing/2014/main" id="{61BD62C9-EF54-58CC-7EC5-230F74BC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1BD62C9-EF54-58CC-7EC5-230F74BC2C0F}"/>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pic:blipFill>
                <pic:spPr>
                  <a:xfrm>
                    <a:off x="0" y="0"/>
                    <a:ext cx="2408400" cy="65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A22E" w14:textId="77777777" w:rsidR="00492897" w:rsidRDefault="004928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34E6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5824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5E89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7A25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44D1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62B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34C8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26A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367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563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428CB"/>
    <w:multiLevelType w:val="hybridMultilevel"/>
    <w:tmpl w:val="7A56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AA15B9"/>
    <w:multiLevelType w:val="hybridMultilevel"/>
    <w:tmpl w:val="2F52D66A"/>
    <w:lvl w:ilvl="0" w:tplc="4B124C4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C43159"/>
    <w:multiLevelType w:val="hybridMultilevel"/>
    <w:tmpl w:val="C068D42E"/>
    <w:lvl w:ilvl="0" w:tplc="AB880D08">
      <w:start w:val="1"/>
      <w:numFmt w:val="bullet"/>
      <w:pStyle w:val="BulletedTex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B05B28"/>
    <w:multiLevelType w:val="hybridMultilevel"/>
    <w:tmpl w:val="8C041418"/>
    <w:lvl w:ilvl="0" w:tplc="A8B0F152">
      <w:start w:val="1"/>
      <w:numFmt w:val="lowerLetter"/>
      <w:pStyle w:val="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8190485">
    <w:abstractNumId w:val="9"/>
  </w:num>
  <w:num w:numId="2" w16cid:durableId="1829902310">
    <w:abstractNumId w:val="7"/>
  </w:num>
  <w:num w:numId="3" w16cid:durableId="1661078712">
    <w:abstractNumId w:val="6"/>
  </w:num>
  <w:num w:numId="4" w16cid:durableId="2093697054">
    <w:abstractNumId w:val="5"/>
  </w:num>
  <w:num w:numId="5" w16cid:durableId="2049453695">
    <w:abstractNumId w:val="4"/>
  </w:num>
  <w:num w:numId="6" w16cid:durableId="374820540">
    <w:abstractNumId w:val="8"/>
  </w:num>
  <w:num w:numId="7" w16cid:durableId="127355976">
    <w:abstractNumId w:val="3"/>
  </w:num>
  <w:num w:numId="8" w16cid:durableId="1516651108">
    <w:abstractNumId w:val="2"/>
  </w:num>
  <w:num w:numId="9" w16cid:durableId="864631205">
    <w:abstractNumId w:val="1"/>
  </w:num>
  <w:num w:numId="10" w16cid:durableId="884213877">
    <w:abstractNumId w:val="0"/>
  </w:num>
  <w:num w:numId="11" w16cid:durableId="1149860420">
    <w:abstractNumId w:val="13"/>
  </w:num>
  <w:num w:numId="12" w16cid:durableId="1542086523">
    <w:abstractNumId w:val="11"/>
  </w:num>
  <w:num w:numId="13" w16cid:durableId="956184991">
    <w:abstractNumId w:val="12"/>
  </w:num>
  <w:num w:numId="14" w16cid:durableId="14345449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DB4"/>
    <w:rsid w:val="0000383E"/>
    <w:rsid w:val="00046844"/>
    <w:rsid w:val="00061215"/>
    <w:rsid w:val="00070A7F"/>
    <w:rsid w:val="000711A5"/>
    <w:rsid w:val="00097AAD"/>
    <w:rsid w:val="000B26AC"/>
    <w:rsid w:val="000C14EF"/>
    <w:rsid w:val="000C6189"/>
    <w:rsid w:val="000D0BE1"/>
    <w:rsid w:val="000D7D8F"/>
    <w:rsid w:val="000E176F"/>
    <w:rsid w:val="000E523D"/>
    <w:rsid w:val="00107DFB"/>
    <w:rsid w:val="001170C6"/>
    <w:rsid w:val="0012519F"/>
    <w:rsid w:val="001264AD"/>
    <w:rsid w:val="00155186"/>
    <w:rsid w:val="001B0D79"/>
    <w:rsid w:val="001B4471"/>
    <w:rsid w:val="001C05AC"/>
    <w:rsid w:val="001C7557"/>
    <w:rsid w:val="001D42AA"/>
    <w:rsid w:val="002213C7"/>
    <w:rsid w:val="00222B45"/>
    <w:rsid w:val="0022775B"/>
    <w:rsid w:val="00234259"/>
    <w:rsid w:val="0023657A"/>
    <w:rsid w:val="002538C0"/>
    <w:rsid w:val="00265D67"/>
    <w:rsid w:val="00280F4C"/>
    <w:rsid w:val="00295D34"/>
    <w:rsid w:val="002A39EE"/>
    <w:rsid w:val="002B1EB4"/>
    <w:rsid w:val="002D217B"/>
    <w:rsid w:val="002F2F0F"/>
    <w:rsid w:val="0030421D"/>
    <w:rsid w:val="003172CB"/>
    <w:rsid w:val="00330D40"/>
    <w:rsid w:val="003507A1"/>
    <w:rsid w:val="0036015C"/>
    <w:rsid w:val="003617C6"/>
    <w:rsid w:val="00367911"/>
    <w:rsid w:val="003723FB"/>
    <w:rsid w:val="003906FC"/>
    <w:rsid w:val="003A043F"/>
    <w:rsid w:val="003C2A8F"/>
    <w:rsid w:val="003C687F"/>
    <w:rsid w:val="003D5B69"/>
    <w:rsid w:val="003E0762"/>
    <w:rsid w:val="003E74ED"/>
    <w:rsid w:val="00410B37"/>
    <w:rsid w:val="0046497E"/>
    <w:rsid w:val="00492897"/>
    <w:rsid w:val="004936C2"/>
    <w:rsid w:val="00497017"/>
    <w:rsid w:val="004A3D5E"/>
    <w:rsid w:val="004C4668"/>
    <w:rsid w:val="004E2A89"/>
    <w:rsid w:val="004E5716"/>
    <w:rsid w:val="00502DEA"/>
    <w:rsid w:val="00503D9C"/>
    <w:rsid w:val="00503F7B"/>
    <w:rsid w:val="00505876"/>
    <w:rsid w:val="00507961"/>
    <w:rsid w:val="00520D33"/>
    <w:rsid w:val="00526250"/>
    <w:rsid w:val="00541AEB"/>
    <w:rsid w:val="00541C52"/>
    <w:rsid w:val="00556175"/>
    <w:rsid w:val="005D0777"/>
    <w:rsid w:val="005D45F9"/>
    <w:rsid w:val="005E12EF"/>
    <w:rsid w:val="005F1860"/>
    <w:rsid w:val="00600A49"/>
    <w:rsid w:val="00600D8D"/>
    <w:rsid w:val="006067A6"/>
    <w:rsid w:val="006114D0"/>
    <w:rsid w:val="00630875"/>
    <w:rsid w:val="00652B3B"/>
    <w:rsid w:val="00656D86"/>
    <w:rsid w:val="00664863"/>
    <w:rsid w:val="006706D5"/>
    <w:rsid w:val="006B3D23"/>
    <w:rsid w:val="006C5187"/>
    <w:rsid w:val="006D4405"/>
    <w:rsid w:val="006F05F1"/>
    <w:rsid w:val="006F0B41"/>
    <w:rsid w:val="006F1D23"/>
    <w:rsid w:val="006F73F9"/>
    <w:rsid w:val="006F7860"/>
    <w:rsid w:val="00715288"/>
    <w:rsid w:val="0072091D"/>
    <w:rsid w:val="00724B74"/>
    <w:rsid w:val="00744D16"/>
    <w:rsid w:val="00753400"/>
    <w:rsid w:val="007838BC"/>
    <w:rsid w:val="00785767"/>
    <w:rsid w:val="00790C6E"/>
    <w:rsid w:val="00795117"/>
    <w:rsid w:val="007978EB"/>
    <w:rsid w:val="007A07D9"/>
    <w:rsid w:val="007A1477"/>
    <w:rsid w:val="007B1593"/>
    <w:rsid w:val="007C015C"/>
    <w:rsid w:val="007C0E0A"/>
    <w:rsid w:val="007D0732"/>
    <w:rsid w:val="007D14E4"/>
    <w:rsid w:val="007E7EB6"/>
    <w:rsid w:val="007F6995"/>
    <w:rsid w:val="00823DD8"/>
    <w:rsid w:val="00840CC7"/>
    <w:rsid w:val="00845681"/>
    <w:rsid w:val="0085237D"/>
    <w:rsid w:val="00853676"/>
    <w:rsid w:val="0089595A"/>
    <w:rsid w:val="008A2CF5"/>
    <w:rsid w:val="008C106F"/>
    <w:rsid w:val="008D2F4F"/>
    <w:rsid w:val="008E2AB9"/>
    <w:rsid w:val="008E34DF"/>
    <w:rsid w:val="008F704E"/>
    <w:rsid w:val="009024F8"/>
    <w:rsid w:val="0093082D"/>
    <w:rsid w:val="00931C30"/>
    <w:rsid w:val="00943C40"/>
    <w:rsid w:val="0094420C"/>
    <w:rsid w:val="00955936"/>
    <w:rsid w:val="009639A9"/>
    <w:rsid w:val="00985279"/>
    <w:rsid w:val="00991A0B"/>
    <w:rsid w:val="009B6111"/>
    <w:rsid w:val="009B6F5F"/>
    <w:rsid w:val="009C53B3"/>
    <w:rsid w:val="009E2E03"/>
    <w:rsid w:val="009F30D4"/>
    <w:rsid w:val="00A135A8"/>
    <w:rsid w:val="00A14091"/>
    <w:rsid w:val="00A2075D"/>
    <w:rsid w:val="00A21951"/>
    <w:rsid w:val="00A322CF"/>
    <w:rsid w:val="00A3235C"/>
    <w:rsid w:val="00A44C13"/>
    <w:rsid w:val="00A73223"/>
    <w:rsid w:val="00A73ABC"/>
    <w:rsid w:val="00AA1CD9"/>
    <w:rsid w:val="00AB5D54"/>
    <w:rsid w:val="00AC410D"/>
    <w:rsid w:val="00AD6350"/>
    <w:rsid w:val="00AF3C17"/>
    <w:rsid w:val="00B23F9A"/>
    <w:rsid w:val="00B307E9"/>
    <w:rsid w:val="00B317B3"/>
    <w:rsid w:val="00B35296"/>
    <w:rsid w:val="00B45A91"/>
    <w:rsid w:val="00B66569"/>
    <w:rsid w:val="00B735B7"/>
    <w:rsid w:val="00BB6814"/>
    <w:rsid w:val="00BB7810"/>
    <w:rsid w:val="00BC5CF4"/>
    <w:rsid w:val="00BD4954"/>
    <w:rsid w:val="00BF0E8B"/>
    <w:rsid w:val="00BF16AE"/>
    <w:rsid w:val="00C109AB"/>
    <w:rsid w:val="00C146FA"/>
    <w:rsid w:val="00C260F0"/>
    <w:rsid w:val="00C5344E"/>
    <w:rsid w:val="00C552D8"/>
    <w:rsid w:val="00C87EAB"/>
    <w:rsid w:val="00C93F2E"/>
    <w:rsid w:val="00CA7397"/>
    <w:rsid w:val="00CB4EB5"/>
    <w:rsid w:val="00CC092B"/>
    <w:rsid w:val="00CC3CB9"/>
    <w:rsid w:val="00CD2F3C"/>
    <w:rsid w:val="00CF38CF"/>
    <w:rsid w:val="00CF4DDF"/>
    <w:rsid w:val="00D02E7B"/>
    <w:rsid w:val="00D10DB4"/>
    <w:rsid w:val="00D36CB9"/>
    <w:rsid w:val="00D52A1C"/>
    <w:rsid w:val="00D6348C"/>
    <w:rsid w:val="00D7584F"/>
    <w:rsid w:val="00D94BA3"/>
    <w:rsid w:val="00D95D96"/>
    <w:rsid w:val="00DC2E58"/>
    <w:rsid w:val="00DD63D9"/>
    <w:rsid w:val="00DE1A2E"/>
    <w:rsid w:val="00DF0CF2"/>
    <w:rsid w:val="00DF77F3"/>
    <w:rsid w:val="00E1777C"/>
    <w:rsid w:val="00E71DBD"/>
    <w:rsid w:val="00E85101"/>
    <w:rsid w:val="00E9390A"/>
    <w:rsid w:val="00EA77BD"/>
    <w:rsid w:val="00EB58A3"/>
    <w:rsid w:val="00EC1AD9"/>
    <w:rsid w:val="00F13B2E"/>
    <w:rsid w:val="00F74E9E"/>
    <w:rsid w:val="00FB3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8F80E"/>
  <w15:chartTrackingRefBased/>
  <w15:docId w15:val="{85BCDFB9-D2E2-44C7-863D-17C91460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A91"/>
    <w:pPr>
      <w:spacing w:after="0"/>
    </w:pPr>
    <w:rPr>
      <w:color w:val="333333" w:themeColor="text2"/>
      <w:sz w:val="24"/>
    </w:rPr>
  </w:style>
  <w:style w:type="paragraph" w:styleId="Heading1">
    <w:name w:val="heading 1"/>
    <w:basedOn w:val="Normal"/>
    <w:next w:val="Normal"/>
    <w:link w:val="Heading1Char"/>
    <w:uiPriority w:val="9"/>
    <w:qFormat/>
    <w:rsid w:val="0046497E"/>
    <w:pPr>
      <w:keepNext/>
      <w:keepLines/>
      <w:spacing w:after="320"/>
      <w:outlineLvl w:val="0"/>
    </w:pPr>
    <w:rPr>
      <w:rFonts w:asciiTheme="majorHAnsi" w:eastAsiaTheme="majorEastAsia" w:hAnsiTheme="majorHAnsi" w:cstheme="majorBidi"/>
      <w:b/>
      <w:color w:val="00B2A1" w:themeColor="accent6"/>
      <w:sz w:val="40"/>
      <w:szCs w:val="32"/>
    </w:rPr>
  </w:style>
  <w:style w:type="paragraph" w:styleId="Heading2">
    <w:name w:val="heading 2"/>
    <w:basedOn w:val="Normal"/>
    <w:next w:val="Normal"/>
    <w:link w:val="Heading2Char"/>
    <w:uiPriority w:val="9"/>
    <w:unhideWhenUsed/>
    <w:qFormat/>
    <w:rsid w:val="00C93F2E"/>
    <w:pPr>
      <w:keepNext/>
      <w:keepLines/>
      <w:spacing w:after="12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0711A5"/>
    <w:pPr>
      <w:keepNext/>
      <w:keepLines/>
      <w:spacing w:after="12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CF2"/>
    <w:pPr>
      <w:tabs>
        <w:tab w:val="center" w:pos="4513"/>
        <w:tab w:val="right" w:pos="9026"/>
      </w:tabs>
      <w:spacing w:line="240" w:lineRule="auto"/>
    </w:pPr>
  </w:style>
  <w:style w:type="character" w:customStyle="1" w:styleId="HeaderChar">
    <w:name w:val="Header Char"/>
    <w:basedOn w:val="DefaultParagraphFont"/>
    <w:link w:val="Header"/>
    <w:uiPriority w:val="99"/>
    <w:rsid w:val="00DF0CF2"/>
    <w:rPr>
      <w:sz w:val="24"/>
    </w:rPr>
  </w:style>
  <w:style w:type="paragraph" w:styleId="Footer">
    <w:name w:val="footer"/>
    <w:basedOn w:val="Normal"/>
    <w:link w:val="FooterChar"/>
    <w:uiPriority w:val="99"/>
    <w:unhideWhenUsed/>
    <w:rsid w:val="001B0D79"/>
    <w:pPr>
      <w:tabs>
        <w:tab w:val="center" w:pos="4513"/>
        <w:tab w:val="right" w:pos="9026"/>
      </w:tabs>
      <w:spacing w:line="240" w:lineRule="auto"/>
    </w:pPr>
  </w:style>
  <w:style w:type="character" w:customStyle="1" w:styleId="FooterChar">
    <w:name w:val="Footer Char"/>
    <w:basedOn w:val="DefaultParagraphFont"/>
    <w:link w:val="Footer"/>
    <w:uiPriority w:val="99"/>
    <w:rsid w:val="001B0D79"/>
    <w:rPr>
      <w:color w:val="333333" w:themeColor="text2"/>
      <w:sz w:val="24"/>
    </w:rPr>
  </w:style>
  <w:style w:type="character" w:customStyle="1" w:styleId="Heading1Char">
    <w:name w:val="Heading 1 Char"/>
    <w:basedOn w:val="DefaultParagraphFont"/>
    <w:link w:val="Heading1"/>
    <w:uiPriority w:val="9"/>
    <w:rsid w:val="0046497E"/>
    <w:rPr>
      <w:rFonts w:asciiTheme="majorHAnsi" w:eastAsiaTheme="majorEastAsia" w:hAnsiTheme="majorHAnsi" w:cstheme="majorBidi"/>
      <w:b/>
      <w:color w:val="00B2A1" w:themeColor="accent6"/>
      <w:sz w:val="40"/>
      <w:szCs w:val="32"/>
    </w:rPr>
  </w:style>
  <w:style w:type="character" w:customStyle="1" w:styleId="Heading2Char">
    <w:name w:val="Heading 2 Char"/>
    <w:basedOn w:val="DefaultParagraphFont"/>
    <w:link w:val="Heading2"/>
    <w:uiPriority w:val="9"/>
    <w:rsid w:val="00C93F2E"/>
    <w:rPr>
      <w:rFonts w:asciiTheme="majorHAnsi" w:eastAsiaTheme="majorEastAsia" w:hAnsiTheme="majorHAnsi" w:cstheme="majorBidi"/>
      <w:b/>
      <w:color w:val="333333" w:themeColor="text2"/>
      <w:sz w:val="32"/>
      <w:szCs w:val="26"/>
    </w:rPr>
  </w:style>
  <w:style w:type="character" w:customStyle="1" w:styleId="Heading3Char">
    <w:name w:val="Heading 3 Char"/>
    <w:basedOn w:val="DefaultParagraphFont"/>
    <w:link w:val="Heading3"/>
    <w:uiPriority w:val="9"/>
    <w:rsid w:val="000711A5"/>
    <w:rPr>
      <w:rFonts w:asciiTheme="majorHAnsi" w:eastAsiaTheme="majorEastAsia" w:hAnsiTheme="majorHAnsi" w:cstheme="majorBidi"/>
      <w:b/>
      <w:color w:val="333333" w:themeColor="text2"/>
      <w:sz w:val="24"/>
      <w:szCs w:val="24"/>
    </w:rPr>
  </w:style>
  <w:style w:type="paragraph" w:customStyle="1" w:styleId="IntroParagraph">
    <w:name w:val="Intro Paragraph"/>
    <w:basedOn w:val="Normal"/>
    <w:qFormat/>
    <w:rsid w:val="00AD6350"/>
    <w:pPr>
      <w:spacing w:line="228" w:lineRule="auto"/>
    </w:pPr>
    <w:rPr>
      <w:sz w:val="32"/>
    </w:rPr>
  </w:style>
  <w:style w:type="paragraph" w:customStyle="1" w:styleId="ReportTitle">
    <w:name w:val="Report Title"/>
    <w:basedOn w:val="Normal"/>
    <w:qFormat/>
    <w:rsid w:val="00BB7810"/>
    <w:pPr>
      <w:spacing w:line="216" w:lineRule="auto"/>
      <w:ind w:right="3289"/>
    </w:pPr>
    <w:rPr>
      <w:b/>
      <w:color w:val="FFFFFF" w:themeColor="background1"/>
      <w:sz w:val="80"/>
    </w:rPr>
  </w:style>
  <w:style w:type="paragraph" w:customStyle="1" w:styleId="ReportSubtitle">
    <w:name w:val="Report Subtitle"/>
    <w:basedOn w:val="Normal"/>
    <w:qFormat/>
    <w:rsid w:val="00BB7810"/>
    <w:pPr>
      <w:ind w:right="2835"/>
    </w:pPr>
    <w:rPr>
      <w:b/>
      <w:color w:val="FFFFFF" w:themeColor="background1"/>
      <w:sz w:val="40"/>
    </w:rPr>
  </w:style>
  <w:style w:type="table" w:styleId="TableGrid">
    <w:name w:val="Table Grid"/>
    <w:basedOn w:val="TableNormal"/>
    <w:uiPriority w:val="39"/>
    <w:rsid w:val="00BB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IssueNo">
    <w:name w:val="Cover Issue No."/>
    <w:basedOn w:val="Normal"/>
    <w:qFormat/>
    <w:rsid w:val="001B0D79"/>
    <w:pPr>
      <w:framePr w:hSpace="181" w:wrap="around" w:vAnchor="page" w:hAnchor="text" w:y="13609"/>
      <w:spacing w:line="240" w:lineRule="auto"/>
      <w:suppressOverlap/>
    </w:pPr>
    <w:rPr>
      <w:b/>
      <w:color w:val="FFFFFF" w:themeColor="background1"/>
      <w:sz w:val="32"/>
    </w:rPr>
  </w:style>
  <w:style w:type="paragraph" w:customStyle="1" w:styleId="CoverVersion">
    <w:name w:val="Cover Version"/>
    <w:basedOn w:val="Normal"/>
    <w:qFormat/>
    <w:rsid w:val="001B0D79"/>
    <w:pPr>
      <w:framePr w:hSpace="181" w:wrap="around" w:vAnchor="page" w:hAnchor="text" w:y="13609"/>
      <w:spacing w:line="240" w:lineRule="auto"/>
      <w:suppressOverlap/>
    </w:pPr>
    <w:rPr>
      <w:b/>
      <w:color w:val="FFFFFF" w:themeColor="background1"/>
      <w:sz w:val="32"/>
    </w:rPr>
  </w:style>
  <w:style w:type="paragraph" w:customStyle="1" w:styleId="FooterRule">
    <w:name w:val="Footer Rule"/>
    <w:basedOn w:val="Normal"/>
    <w:qFormat/>
    <w:rsid w:val="001B0D79"/>
    <w:pPr>
      <w:pBdr>
        <w:top w:val="single" w:sz="8" w:space="1" w:color="00B2A1" w:themeColor="accent6"/>
      </w:pBdr>
    </w:pPr>
    <w:rPr>
      <w:sz w:val="8"/>
    </w:rPr>
  </w:style>
  <w:style w:type="paragraph" w:customStyle="1" w:styleId="CoverDate">
    <w:name w:val="Cover Date"/>
    <w:basedOn w:val="Normal"/>
    <w:qFormat/>
    <w:rsid w:val="000D7D8F"/>
    <w:rPr>
      <w:b/>
      <w:color w:val="FFFFFF" w:themeColor="background1"/>
      <w:sz w:val="32"/>
    </w:rPr>
  </w:style>
  <w:style w:type="paragraph" w:customStyle="1" w:styleId="H1nocontents">
    <w:name w:val="H1 (no contents)"/>
    <w:basedOn w:val="Normal"/>
    <w:qFormat/>
    <w:rsid w:val="009B6F5F"/>
    <w:pPr>
      <w:spacing w:after="300"/>
    </w:pPr>
    <w:rPr>
      <w:b/>
      <w:color w:val="00B2A1" w:themeColor="accent6"/>
      <w:sz w:val="40"/>
    </w:rPr>
  </w:style>
  <w:style w:type="paragraph" w:styleId="BodyText">
    <w:name w:val="Body Text"/>
    <w:basedOn w:val="Normal"/>
    <w:link w:val="BodyTextChar"/>
    <w:uiPriority w:val="99"/>
    <w:unhideWhenUsed/>
    <w:rsid w:val="00C93F2E"/>
    <w:pPr>
      <w:spacing w:after="120"/>
    </w:pPr>
  </w:style>
  <w:style w:type="character" w:customStyle="1" w:styleId="BodyTextChar">
    <w:name w:val="Body Text Char"/>
    <w:basedOn w:val="DefaultParagraphFont"/>
    <w:link w:val="BodyText"/>
    <w:uiPriority w:val="99"/>
    <w:rsid w:val="00C93F2E"/>
    <w:rPr>
      <w:color w:val="333333" w:themeColor="text2"/>
      <w:sz w:val="24"/>
    </w:rPr>
  </w:style>
  <w:style w:type="paragraph" w:customStyle="1" w:styleId="bclist">
    <w:name w:val="b) c) list"/>
    <w:basedOn w:val="Normal"/>
    <w:qFormat/>
    <w:rsid w:val="00C93F2E"/>
    <w:pPr>
      <w:numPr>
        <w:numId w:val="11"/>
      </w:numPr>
      <w:spacing w:after="120"/>
      <w:ind w:left="851" w:hanging="284"/>
    </w:pPr>
  </w:style>
  <w:style w:type="paragraph" w:customStyle="1" w:styleId="Numberedtext">
    <w:name w:val="Numbered text"/>
    <w:basedOn w:val="Normal"/>
    <w:qFormat/>
    <w:rsid w:val="00061215"/>
    <w:pPr>
      <w:numPr>
        <w:numId w:val="12"/>
      </w:numPr>
      <w:spacing w:after="120"/>
      <w:ind w:left="284" w:hanging="284"/>
    </w:pPr>
  </w:style>
  <w:style w:type="paragraph" w:customStyle="1" w:styleId="BulletedText">
    <w:name w:val="Bulleted Text"/>
    <w:basedOn w:val="Normal"/>
    <w:qFormat/>
    <w:rsid w:val="00061215"/>
    <w:pPr>
      <w:numPr>
        <w:numId w:val="13"/>
      </w:numPr>
      <w:spacing w:after="120"/>
      <w:ind w:left="851" w:hanging="284"/>
    </w:pPr>
  </w:style>
  <w:style w:type="paragraph" w:styleId="FootnoteText">
    <w:name w:val="footnote text"/>
    <w:basedOn w:val="Normal"/>
    <w:link w:val="FootnoteTextChar"/>
    <w:uiPriority w:val="99"/>
    <w:semiHidden/>
    <w:unhideWhenUsed/>
    <w:rsid w:val="00B735B7"/>
    <w:pPr>
      <w:spacing w:line="240" w:lineRule="auto"/>
    </w:pPr>
    <w:rPr>
      <w:sz w:val="20"/>
      <w:szCs w:val="20"/>
    </w:rPr>
  </w:style>
  <w:style w:type="character" w:customStyle="1" w:styleId="FootnoteTextChar">
    <w:name w:val="Footnote Text Char"/>
    <w:basedOn w:val="DefaultParagraphFont"/>
    <w:link w:val="FootnoteText"/>
    <w:uiPriority w:val="99"/>
    <w:semiHidden/>
    <w:rsid w:val="00B735B7"/>
    <w:rPr>
      <w:color w:val="333333" w:themeColor="text2"/>
      <w:sz w:val="20"/>
      <w:szCs w:val="20"/>
    </w:rPr>
  </w:style>
  <w:style w:type="character" w:styleId="FootnoteReference">
    <w:name w:val="footnote reference"/>
    <w:basedOn w:val="DefaultParagraphFont"/>
    <w:uiPriority w:val="99"/>
    <w:semiHidden/>
    <w:unhideWhenUsed/>
    <w:rsid w:val="00B735B7"/>
    <w:rPr>
      <w:vertAlign w:val="superscript"/>
    </w:rPr>
  </w:style>
  <w:style w:type="paragraph" w:customStyle="1" w:styleId="ChartTitle">
    <w:name w:val="Chart Title"/>
    <w:basedOn w:val="Normal"/>
    <w:qFormat/>
    <w:rsid w:val="00B735B7"/>
    <w:rPr>
      <w:b/>
      <w:color w:val="00B2A1" w:themeColor="accent6"/>
      <w:sz w:val="32"/>
    </w:rPr>
  </w:style>
  <w:style w:type="paragraph" w:styleId="TOC1">
    <w:name w:val="toc 1"/>
    <w:basedOn w:val="Normal"/>
    <w:next w:val="Normal"/>
    <w:autoRedefine/>
    <w:uiPriority w:val="39"/>
    <w:unhideWhenUsed/>
    <w:rsid w:val="00503F7B"/>
    <w:pPr>
      <w:pBdr>
        <w:top w:val="single" w:sz="4" w:space="1" w:color="auto"/>
      </w:pBdr>
      <w:spacing w:before="180" w:after="100"/>
    </w:pPr>
    <w:rPr>
      <w:b/>
      <w:sz w:val="28"/>
    </w:rPr>
  </w:style>
  <w:style w:type="paragraph" w:styleId="TOC2">
    <w:name w:val="toc 2"/>
    <w:basedOn w:val="Normal"/>
    <w:next w:val="Normal"/>
    <w:autoRedefine/>
    <w:uiPriority w:val="39"/>
    <w:unhideWhenUsed/>
    <w:rsid w:val="00503F7B"/>
    <w:pPr>
      <w:spacing w:after="100"/>
      <w:ind w:left="240"/>
    </w:pPr>
  </w:style>
  <w:style w:type="paragraph" w:styleId="TOC3">
    <w:name w:val="toc 3"/>
    <w:basedOn w:val="Normal"/>
    <w:next w:val="Normal"/>
    <w:autoRedefine/>
    <w:uiPriority w:val="39"/>
    <w:unhideWhenUsed/>
    <w:rsid w:val="00503F7B"/>
    <w:pPr>
      <w:spacing w:after="100"/>
      <w:ind w:left="480"/>
    </w:pPr>
  </w:style>
  <w:style w:type="character" w:styleId="Hyperlink">
    <w:name w:val="Hyperlink"/>
    <w:basedOn w:val="DefaultParagraphFont"/>
    <w:uiPriority w:val="99"/>
    <w:unhideWhenUsed/>
    <w:rsid w:val="00503F7B"/>
    <w:rPr>
      <w:color w:val="0563C1" w:themeColor="hyperlink"/>
      <w:u w:val="single"/>
    </w:rPr>
  </w:style>
  <w:style w:type="paragraph" w:customStyle="1" w:styleId="Horizontalline">
    <w:name w:val="Horizontal line"/>
    <w:basedOn w:val="Normal"/>
    <w:qFormat/>
    <w:rsid w:val="00503F7B"/>
    <w:pPr>
      <w:pBdr>
        <w:top w:val="single" w:sz="4" w:space="1" w:color="333333" w:themeColor="text2"/>
      </w:pBdr>
    </w:pPr>
  </w:style>
  <w:style w:type="paragraph" w:styleId="ListParagraph">
    <w:name w:val="List Paragraph"/>
    <w:basedOn w:val="Normal"/>
    <w:uiPriority w:val="34"/>
    <w:qFormat/>
    <w:rsid w:val="003A043F"/>
    <w:pPr>
      <w:ind w:left="720"/>
      <w:contextualSpacing/>
    </w:pPr>
  </w:style>
  <w:style w:type="character" w:styleId="UnresolvedMention">
    <w:name w:val="Unresolved Mention"/>
    <w:basedOn w:val="DefaultParagraphFont"/>
    <w:uiPriority w:val="99"/>
    <w:semiHidden/>
    <w:unhideWhenUsed/>
    <w:rsid w:val="00234259"/>
    <w:rPr>
      <w:color w:val="605E5C"/>
      <w:shd w:val="clear" w:color="auto" w:fill="E1DFDD"/>
    </w:rPr>
  </w:style>
  <w:style w:type="table" w:styleId="PlainTable5">
    <w:name w:val="Plain Table 5"/>
    <w:basedOn w:val="TableNormal"/>
    <w:uiPriority w:val="45"/>
    <w:rsid w:val="00CF4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F4D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2">
    <w:name w:val="List Table 2 Accent 2"/>
    <w:basedOn w:val="TableNormal"/>
    <w:uiPriority w:val="47"/>
    <w:rsid w:val="00CF4DDF"/>
    <w:pPr>
      <w:spacing w:after="0" w:line="240" w:lineRule="auto"/>
    </w:pPr>
    <w:tblPr>
      <w:tblStyleRowBandSize w:val="1"/>
      <w:tblStyleColBandSize w:val="1"/>
      <w:tblBorders>
        <w:top w:val="single" w:sz="4" w:space="0" w:color="16FF78" w:themeColor="accent2" w:themeTint="99"/>
        <w:bottom w:val="single" w:sz="4" w:space="0" w:color="16FF78" w:themeColor="accent2" w:themeTint="99"/>
        <w:insideH w:val="single" w:sz="4" w:space="0" w:color="16FF7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FD1" w:themeFill="accent2" w:themeFillTint="33"/>
      </w:tcPr>
    </w:tblStylePr>
    <w:tblStylePr w:type="band1Horz">
      <w:tblPr/>
      <w:tcPr>
        <w:shd w:val="clear" w:color="auto" w:fill="B1FFD1" w:themeFill="accent2" w:themeFillTint="33"/>
      </w:tcPr>
    </w:tblStylePr>
  </w:style>
  <w:style w:type="table" w:styleId="ListTable3-Accent6">
    <w:name w:val="List Table 3 Accent 6"/>
    <w:basedOn w:val="TableNormal"/>
    <w:uiPriority w:val="48"/>
    <w:rsid w:val="00CF4DDF"/>
    <w:pPr>
      <w:spacing w:after="0" w:line="240" w:lineRule="auto"/>
    </w:pPr>
    <w:tblPr>
      <w:tblStyleRowBandSize w:val="1"/>
      <w:tblStyleColBandSize w:val="1"/>
      <w:tblBorders>
        <w:top w:val="single" w:sz="4" w:space="0" w:color="00B2A1" w:themeColor="accent6"/>
        <w:left w:val="single" w:sz="4" w:space="0" w:color="00B2A1" w:themeColor="accent6"/>
        <w:bottom w:val="single" w:sz="4" w:space="0" w:color="00B2A1" w:themeColor="accent6"/>
        <w:right w:val="single" w:sz="4" w:space="0" w:color="00B2A1" w:themeColor="accent6"/>
      </w:tblBorders>
    </w:tblPr>
    <w:tblStylePr w:type="firstRow">
      <w:rPr>
        <w:b/>
        <w:bCs/>
        <w:color w:val="FFFFFF" w:themeColor="background1"/>
      </w:rPr>
      <w:tblPr/>
      <w:tcPr>
        <w:shd w:val="clear" w:color="auto" w:fill="00B2A1" w:themeFill="accent6"/>
      </w:tcPr>
    </w:tblStylePr>
    <w:tblStylePr w:type="lastRow">
      <w:rPr>
        <w:b/>
        <w:bCs/>
      </w:rPr>
      <w:tblPr/>
      <w:tcPr>
        <w:tcBorders>
          <w:top w:val="double" w:sz="4" w:space="0" w:color="00B2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1" w:themeColor="accent6"/>
          <w:right w:val="single" w:sz="4" w:space="0" w:color="00B2A1" w:themeColor="accent6"/>
        </w:tcBorders>
      </w:tcPr>
    </w:tblStylePr>
    <w:tblStylePr w:type="band1Horz">
      <w:tblPr/>
      <w:tcPr>
        <w:tcBorders>
          <w:top w:val="single" w:sz="4" w:space="0" w:color="00B2A1" w:themeColor="accent6"/>
          <w:bottom w:val="single" w:sz="4" w:space="0" w:color="00B2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1" w:themeColor="accent6"/>
          <w:left w:val="nil"/>
        </w:tcBorders>
      </w:tcPr>
    </w:tblStylePr>
    <w:tblStylePr w:type="swCell">
      <w:tblPr/>
      <w:tcPr>
        <w:tcBorders>
          <w:top w:val="double" w:sz="4" w:space="0" w:color="00B2A1" w:themeColor="accent6"/>
          <w:right w:val="nil"/>
        </w:tcBorders>
      </w:tcPr>
    </w:tblStylePr>
  </w:style>
  <w:style w:type="table" w:styleId="ListTable6Colorful-Accent2">
    <w:name w:val="List Table 6 Colorful Accent 2"/>
    <w:basedOn w:val="TableNormal"/>
    <w:uiPriority w:val="51"/>
    <w:rsid w:val="002538C0"/>
    <w:pPr>
      <w:spacing w:after="0" w:line="240" w:lineRule="auto"/>
    </w:pPr>
    <w:rPr>
      <w:color w:val="005C26" w:themeColor="accent2" w:themeShade="BF"/>
    </w:rPr>
    <w:tblPr>
      <w:tblStyleRowBandSize w:val="1"/>
      <w:tblStyleColBandSize w:val="1"/>
      <w:tblBorders>
        <w:top w:val="single" w:sz="4" w:space="0" w:color="007B34" w:themeColor="accent2"/>
        <w:bottom w:val="single" w:sz="4" w:space="0" w:color="007B34" w:themeColor="accent2"/>
      </w:tblBorders>
    </w:tblPr>
    <w:tblStylePr w:type="firstRow">
      <w:rPr>
        <w:b/>
        <w:bCs/>
      </w:rPr>
      <w:tblPr/>
      <w:tcPr>
        <w:tcBorders>
          <w:bottom w:val="single" w:sz="4" w:space="0" w:color="007B34" w:themeColor="accent2"/>
        </w:tcBorders>
      </w:tcPr>
    </w:tblStylePr>
    <w:tblStylePr w:type="lastRow">
      <w:rPr>
        <w:b/>
        <w:bCs/>
      </w:rPr>
      <w:tblPr/>
      <w:tcPr>
        <w:tcBorders>
          <w:top w:val="double" w:sz="4" w:space="0" w:color="007B34" w:themeColor="accent2"/>
        </w:tcBorders>
      </w:tcPr>
    </w:tblStylePr>
    <w:tblStylePr w:type="firstCol">
      <w:rPr>
        <w:b/>
        <w:bCs/>
      </w:rPr>
    </w:tblStylePr>
    <w:tblStylePr w:type="lastCol">
      <w:rPr>
        <w:b/>
        <w:bCs/>
      </w:rPr>
    </w:tblStylePr>
    <w:tblStylePr w:type="band1Vert">
      <w:tblPr/>
      <w:tcPr>
        <w:shd w:val="clear" w:color="auto" w:fill="B1FFD1" w:themeFill="accent2" w:themeFillTint="33"/>
      </w:tcPr>
    </w:tblStylePr>
    <w:tblStylePr w:type="band1Horz">
      <w:tblPr/>
      <w:tcPr>
        <w:shd w:val="clear" w:color="auto" w:fill="B1FFD1" w:themeFill="accent2" w:themeFillTint="33"/>
      </w:tcPr>
    </w:tblStylePr>
  </w:style>
  <w:style w:type="table" w:styleId="ListTable6Colorful-Accent6">
    <w:name w:val="List Table 6 Colorful Accent 6"/>
    <w:basedOn w:val="TableNormal"/>
    <w:uiPriority w:val="51"/>
    <w:rsid w:val="002538C0"/>
    <w:pPr>
      <w:spacing w:after="0" w:line="240" w:lineRule="auto"/>
    </w:pPr>
    <w:rPr>
      <w:color w:val="008577" w:themeColor="accent6" w:themeShade="BF"/>
    </w:rPr>
    <w:tblPr>
      <w:tblStyleRowBandSize w:val="1"/>
      <w:tblStyleColBandSize w:val="1"/>
      <w:tblBorders>
        <w:top w:val="single" w:sz="4" w:space="0" w:color="00B2A1" w:themeColor="accent6"/>
        <w:bottom w:val="single" w:sz="4" w:space="0" w:color="00B2A1" w:themeColor="accent6"/>
      </w:tblBorders>
    </w:tblPr>
    <w:tblStylePr w:type="firstRow">
      <w:rPr>
        <w:b/>
        <w:bCs/>
      </w:rPr>
      <w:tblPr/>
      <w:tcPr>
        <w:tcBorders>
          <w:bottom w:val="single" w:sz="4" w:space="0" w:color="00B2A1" w:themeColor="accent6"/>
        </w:tcBorders>
      </w:tcPr>
    </w:tblStylePr>
    <w:tblStylePr w:type="lastRow">
      <w:rPr>
        <w:b/>
        <w:bCs/>
      </w:rPr>
      <w:tblPr/>
      <w:tcPr>
        <w:tcBorders>
          <w:top w:val="double" w:sz="4" w:space="0" w:color="00B2A1" w:themeColor="accent6"/>
        </w:tcBorders>
      </w:tcPr>
    </w:tblStylePr>
    <w:tblStylePr w:type="firstCol">
      <w:rPr>
        <w:b/>
        <w:bCs/>
      </w:rPr>
    </w:tblStylePr>
    <w:tblStylePr w:type="lastCol">
      <w:rPr>
        <w:b/>
        <w:bCs/>
      </w:rPr>
    </w:tblStylePr>
    <w:tblStylePr w:type="band1Vert">
      <w:tblPr/>
      <w:tcPr>
        <w:shd w:val="clear" w:color="auto" w:fill="BCFFF8" w:themeFill="accent6" w:themeFillTint="33"/>
      </w:tcPr>
    </w:tblStylePr>
    <w:tblStylePr w:type="band1Horz">
      <w:tblPr/>
      <w:tcPr>
        <w:shd w:val="clear" w:color="auto" w:fill="BCFFF8" w:themeFill="accent6" w:themeFillTint="33"/>
      </w:tcPr>
    </w:tblStylePr>
  </w:style>
  <w:style w:type="table" w:styleId="ListTable6Colorful-Accent3">
    <w:name w:val="List Table 6 Colorful Accent 3"/>
    <w:basedOn w:val="TableNormal"/>
    <w:uiPriority w:val="51"/>
    <w:rsid w:val="002538C0"/>
    <w:pPr>
      <w:spacing w:after="0" w:line="240" w:lineRule="auto"/>
    </w:pPr>
    <w:rPr>
      <w:color w:val="00635A" w:themeColor="accent3" w:themeShade="BF"/>
    </w:rPr>
    <w:tblPr>
      <w:tblStyleRowBandSize w:val="1"/>
      <w:tblStyleColBandSize w:val="1"/>
      <w:tblBorders>
        <w:top w:val="single" w:sz="4" w:space="0" w:color="00857A" w:themeColor="accent3"/>
        <w:bottom w:val="single" w:sz="4" w:space="0" w:color="00857A" w:themeColor="accent3"/>
      </w:tblBorders>
    </w:tblPr>
    <w:tblStylePr w:type="firstRow">
      <w:rPr>
        <w:b/>
        <w:bCs/>
      </w:rPr>
      <w:tblPr/>
      <w:tcPr>
        <w:tcBorders>
          <w:bottom w:val="single" w:sz="4" w:space="0" w:color="00857A" w:themeColor="accent3"/>
        </w:tcBorders>
      </w:tcPr>
    </w:tblStylePr>
    <w:tblStylePr w:type="lastRow">
      <w:rPr>
        <w:b/>
        <w:bCs/>
      </w:rPr>
      <w:tblPr/>
      <w:tcPr>
        <w:tcBorders>
          <w:top w:val="double" w:sz="4" w:space="0" w:color="00857A" w:themeColor="accent3"/>
        </w:tcBorders>
      </w:tcPr>
    </w:tblStylePr>
    <w:tblStylePr w:type="firstCol">
      <w:rPr>
        <w:b/>
        <w:bCs/>
      </w:rPr>
    </w:tblStylePr>
    <w:tblStylePr w:type="lastCol">
      <w:rPr>
        <w:b/>
        <w:bCs/>
      </w:rPr>
    </w:tblStylePr>
    <w:tblStylePr w:type="band1Vert">
      <w:tblPr/>
      <w:tcPr>
        <w:shd w:val="clear" w:color="auto" w:fill="B3FFF8" w:themeFill="accent3" w:themeFillTint="33"/>
      </w:tcPr>
    </w:tblStylePr>
    <w:tblStylePr w:type="band1Horz">
      <w:tblPr/>
      <w:tcPr>
        <w:shd w:val="clear" w:color="auto" w:fill="B3FFF8"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33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gasops.emergencyplanning@nationalga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Collinson\Downloads\NGT%20Report%20(Image%20Cover)%5b25%5d.dotx" TargetMode="External"/></Relationships>
</file>

<file path=word/theme/theme1.xml><?xml version="1.0" encoding="utf-8"?>
<a:theme xmlns:a="http://schemas.openxmlformats.org/drawingml/2006/main" name="Office Theme">
  <a:themeElements>
    <a:clrScheme name="Custom 190">
      <a:dk1>
        <a:sysClr val="windowText" lastClr="000000"/>
      </a:dk1>
      <a:lt1>
        <a:sysClr val="window" lastClr="FFFFFF"/>
      </a:lt1>
      <a:dk2>
        <a:srgbClr val="333333"/>
      </a:dk2>
      <a:lt2>
        <a:srgbClr val="E7E6E6"/>
      </a:lt2>
      <a:accent1>
        <a:srgbClr val="7CC400"/>
      </a:accent1>
      <a:accent2>
        <a:srgbClr val="007B34"/>
      </a:accent2>
      <a:accent3>
        <a:srgbClr val="00857A"/>
      </a:accent3>
      <a:accent4>
        <a:srgbClr val="004C9D"/>
      </a:accent4>
      <a:accent5>
        <a:srgbClr val="32C8FA"/>
      </a:accent5>
      <a:accent6>
        <a:srgbClr val="00B2A1"/>
      </a:accent6>
      <a:hlink>
        <a:srgbClr val="0563C1"/>
      </a:hlink>
      <a:folHlink>
        <a:srgbClr val="954F72"/>
      </a:folHlink>
    </a:clrScheme>
    <a:fontScheme name="Custom 74">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04f8ca-3219-4297-b738-f3937c120e90" xsi:nil="true"/>
    <lcf76f155ced4ddcb4097134ff3c332f xmlns="ec58a67f-860c-42e7-8d9a-5dcd7271bb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F37798E58564D8951EF8ADDC55C64" ma:contentTypeVersion="5" ma:contentTypeDescription="Create a new document." ma:contentTypeScope="" ma:versionID="5e370a77c92fddb7ed6639c96ead87cd">
  <xsd:schema xmlns:xsd="http://www.w3.org/2001/XMLSchema" xmlns:xs="http://www.w3.org/2001/XMLSchema" xmlns:p="http://schemas.microsoft.com/office/2006/metadata/properties" xmlns:ns2="631ab094-b658-40eb-b09a-e81eb4609a21" xmlns:ns3="39801251-e03a-4e20-805c-75b062d5d8c6" xmlns:ns4="ec58a67f-860c-42e7-8d9a-5dcd7271bbbf" xmlns:ns5="9b04f8ca-3219-4297-b738-f3937c120e90" targetNamespace="http://schemas.microsoft.com/office/2006/metadata/properties" ma:root="true" ma:fieldsID="0d942e9b3a1ad2792a9d73bcc44eb7d0" ns2:_="" ns3:_="" ns4:_="" ns5:_="">
    <xsd:import namespace="631ab094-b658-40eb-b09a-e81eb4609a21"/>
    <xsd:import namespace="39801251-e03a-4e20-805c-75b062d5d8c6"/>
    <xsd:import namespace="ec58a67f-860c-42e7-8d9a-5dcd7271bbbf"/>
    <xsd:import namespace="9b04f8ca-3219-4297-b738-f3937c120e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bjectDetectorVersions" minOccurs="0"/>
                <xsd:element ref="ns2:MediaServiceSearchProperties" minOccurs="0"/>
                <xsd:element ref="ns2:MediaLengthInSecond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ab094-b658-40eb-b09a-e81eb4609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801251-e03a-4e20-805c-75b062d5d8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58a67f-860c-42e7-8d9a-5dcd7271bbbf"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2f061d-5722-4abc-a673-2ff89f83de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04f8ca-3219-4297-b738-f3937c120e90"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9a338c1b-4a19-48ba-9ca0-3f87939c657f}" ma:internalName="TaxCatchAll" ma:showField="CatchAllData" ma:web="9b04f8ca-3219-4297-b738-f3937c120e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E5C54-2756-49CD-963E-DFC1F9E1E5A7}">
  <ds:schemaRefs>
    <ds:schemaRef ds:uri="http://schemas.microsoft.com/office/2006/metadata/properties"/>
    <ds:schemaRef ds:uri="http://schemas.microsoft.com/office/infopath/2007/PartnerControls"/>
    <ds:schemaRef ds:uri="9b04f8ca-3219-4297-b738-f3937c120e90"/>
    <ds:schemaRef ds:uri="ec58a67f-860c-42e7-8d9a-5dcd7271bbbf"/>
  </ds:schemaRefs>
</ds:datastoreItem>
</file>

<file path=customXml/itemProps2.xml><?xml version="1.0" encoding="utf-8"?>
<ds:datastoreItem xmlns:ds="http://schemas.openxmlformats.org/officeDocument/2006/customXml" ds:itemID="{54F517F9-8658-469E-964B-BAE9626EEC95}">
  <ds:schemaRefs>
    <ds:schemaRef ds:uri="http://schemas.microsoft.com/sharepoint/v3/contenttype/forms"/>
  </ds:schemaRefs>
</ds:datastoreItem>
</file>

<file path=customXml/itemProps3.xml><?xml version="1.0" encoding="utf-8"?>
<ds:datastoreItem xmlns:ds="http://schemas.openxmlformats.org/officeDocument/2006/customXml" ds:itemID="{9E95E72D-3530-44A1-8A65-E41A06846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ab094-b658-40eb-b09a-e81eb4609a21"/>
    <ds:schemaRef ds:uri="39801251-e03a-4e20-805c-75b062d5d8c6"/>
    <ds:schemaRef ds:uri="ec58a67f-860c-42e7-8d9a-5dcd7271bbbf"/>
    <ds:schemaRef ds:uri="9b04f8ca-3219-4297-b738-f3937c120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5D6161-0A9F-4BE0-B9C9-DE2F3F2F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NGT Report (Image Cover)[25].dotx</Template>
  <TotalTime>768</TotalTime>
  <Pages>7</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Collinson, Samuel</dc:creator>
  <cp:keywords/>
  <dc:description/>
  <cp:lastModifiedBy>Chris Thompson</cp:lastModifiedBy>
  <cp:revision>23</cp:revision>
  <cp:lastPrinted>2023-09-29T12:23:00Z</cp:lastPrinted>
  <dcterms:created xsi:type="dcterms:W3CDTF">2024-06-21T12:36:00Z</dcterms:created>
  <dcterms:modified xsi:type="dcterms:W3CDTF">2024-09-17T11:23:00Z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0x010100DD3F37798E58564D8951EF8ADDC55C64</vt:lpwstr>
  </property>
  <property fmtid="{D5CDD505-2E9C-101B-9397-08002B2CF9AE}" pid="3" name="MSIP_Label_6b4219f1-4f00-48e0-b310-032f85269d6d_Enabled">
    <vt:lpwstr>true</vt:lpwstr>
  </property>
  <property fmtid="{D5CDD505-2E9C-101B-9397-08002B2CF9AE}" pid="4" name="MSIP_Label_6b4219f1-4f00-48e0-b310-032f85269d6d_SetDate">
    <vt:lpwstr>2024-09-16T09:14:13Z</vt:lpwstr>
  </property>
  <property fmtid="{D5CDD505-2E9C-101B-9397-08002B2CF9AE}" pid="5" name="MSIP_Label_6b4219f1-4f00-48e0-b310-032f85269d6d_Method">
    <vt:lpwstr>Standard</vt:lpwstr>
  </property>
  <property fmtid="{D5CDD505-2E9C-101B-9397-08002B2CF9AE}" pid="6" name="MSIP_Label_6b4219f1-4f00-48e0-b310-032f85269d6d_Name">
    <vt:lpwstr>Official</vt:lpwstr>
  </property>
  <property fmtid="{D5CDD505-2E9C-101B-9397-08002B2CF9AE}" pid="7" name="MSIP_Label_6b4219f1-4f00-48e0-b310-032f85269d6d_SiteId">
    <vt:lpwstr>b5d83618-97ea-48ec-b0be-8d4a7d678322</vt:lpwstr>
  </property>
  <property fmtid="{D5CDD505-2E9C-101B-9397-08002B2CF9AE}" pid="8" name="MSIP_Label_6b4219f1-4f00-48e0-b310-032f85269d6d_ActionId">
    <vt:lpwstr>b5989dfc-94fd-4b2f-bff3-90a4c3a49e2e</vt:lpwstr>
  </property>
  <property fmtid="{D5CDD505-2E9C-101B-9397-08002B2CF9AE}" pid="9" name="MSIP_Label_6b4219f1-4f00-48e0-b310-032f85269d6d_ContentBits">
    <vt:lpwstr>0</vt:lpwstr>
  </property>
  <property fmtid="{D5CDD505-2E9C-101B-9397-08002B2CF9AE}" pid="10" name="MediaServiceImageTags">
    <vt:lpwstr/>
  </property>
</Properties>
</file>