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vertAnchor="page" w:tblpY="150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9498"/>
      </w:tblGrid>
      <w:tr w:rsidR="00BB7810" w14:paraId="5194FFEF" w14:textId="77777777" w:rsidTr="000D7D8F">
        <w:tc>
          <w:tcPr>
            <w:tcW w:w="9498" w:type="dxa"/>
          </w:tcPr>
          <w:p w14:paraId="2EA02AC1" w14:textId="627A5AFC" w:rsidR="00BB7810" w:rsidRDefault="00BB7810" w:rsidP="00520D33">
            <w:pPr>
              <w:pStyle w:val="CoverIssueNo"/>
              <w:framePr w:hSpace="0" w:wrap="auto" w:vAnchor="margin" w:yAlign="inline"/>
              <w:suppressOverlap w:val="0"/>
            </w:pPr>
          </w:p>
        </w:tc>
      </w:tr>
    </w:tbl>
    <w:p w14:paraId="79837DAB" w14:textId="2535BCA7" w:rsidR="00503D9C" w:rsidRDefault="00B819BE" w:rsidP="00BB7810">
      <w:pPr>
        <w:pStyle w:val="ReportTitle"/>
      </w:pPr>
      <w:r>
        <w:t>Gas Balancing Notification</w:t>
      </w:r>
    </w:p>
    <w:p w14:paraId="4478F46B" w14:textId="77777777" w:rsidR="00A14091" w:rsidRDefault="00A14091" w:rsidP="00503D9C"/>
    <w:p w14:paraId="77571616" w14:textId="61E9AFB4" w:rsidR="005D7E19" w:rsidRDefault="00B819BE" w:rsidP="004D2AE3">
      <w:pPr>
        <w:pStyle w:val="ReportSubtitle"/>
      </w:pPr>
      <w:r>
        <w:t>Operational Guidance Material</w:t>
      </w:r>
      <w:r w:rsidR="001E7122">
        <w:t xml:space="preserve"> v2</w:t>
      </w:r>
    </w:p>
    <w:p w14:paraId="1F72B561" w14:textId="7DE365A9" w:rsidR="00B819BE" w:rsidRDefault="00B819BE" w:rsidP="004D2AE3">
      <w:pPr>
        <w:pStyle w:val="ReportSubtitle"/>
      </w:pPr>
    </w:p>
    <w:p w14:paraId="118583C6" w14:textId="021A3B07" w:rsidR="00B819BE" w:rsidRDefault="00B819BE" w:rsidP="004D2AE3">
      <w:pPr>
        <w:pStyle w:val="ReportSubtitle"/>
      </w:pPr>
    </w:p>
    <w:p w14:paraId="02C673BC" w14:textId="46D39C1A" w:rsidR="00B819BE" w:rsidRPr="00B819BE" w:rsidRDefault="00B819BE" w:rsidP="004D2AE3">
      <w:pPr>
        <w:pStyle w:val="ReportSubtitle"/>
        <w:rPr>
          <w:sz w:val="28"/>
          <w:szCs w:val="16"/>
        </w:rPr>
        <w:sectPr w:rsidR="00B819BE" w:rsidRPr="00B819BE" w:rsidSect="00520D33">
          <w:headerReference w:type="default" r:id="rId11"/>
          <w:pgSz w:w="11906" w:h="16838"/>
          <w:pgMar w:top="794" w:right="851" w:bottom="284" w:left="851" w:header="397" w:footer="794" w:gutter="0"/>
          <w:cols w:space="708"/>
          <w:docGrid w:linePitch="360"/>
        </w:sectPr>
      </w:pPr>
      <w:r w:rsidRPr="00B819BE">
        <w:rPr>
          <w:sz w:val="28"/>
          <w:szCs w:val="16"/>
        </w:rPr>
        <w:t>Jan</w:t>
      </w:r>
      <w:r w:rsidR="00F505AD">
        <w:rPr>
          <w:noProof/>
        </w:rPr>
        <w:drawing>
          <wp:anchor distT="0" distB="0" distL="114300" distR="114300" simplePos="0" relativeHeight="251659264" behindDoc="0" locked="1" layoutInCell="1" allowOverlap="1" wp14:anchorId="3F18794C" wp14:editId="72B93ADB">
            <wp:simplePos x="0" y="0"/>
            <wp:positionH relativeFrom="page">
              <wp:posOffset>4422140</wp:posOffset>
            </wp:positionH>
            <wp:positionV relativeFrom="page">
              <wp:align>bottom</wp:align>
            </wp:positionV>
            <wp:extent cx="3119755" cy="6184265"/>
            <wp:effectExtent l="0" t="0" r="4445" b="6985"/>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 r="19046" b="9994"/>
                    <a:stretch/>
                  </pic:blipFill>
                  <pic:spPr bwMode="auto">
                    <a:xfrm>
                      <a:off x="0" y="0"/>
                      <a:ext cx="3119755" cy="6184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19BE">
        <w:rPr>
          <w:sz w:val="28"/>
          <w:szCs w:val="16"/>
        </w:rPr>
        <w:t>uary 202</w:t>
      </w:r>
      <w:r w:rsidR="003F3C0E">
        <w:rPr>
          <w:sz w:val="28"/>
          <w:szCs w:val="16"/>
        </w:rPr>
        <w:t>5</w:t>
      </w:r>
    </w:p>
    <w:p w14:paraId="6FADA86A" w14:textId="7422E371" w:rsidR="00167659" w:rsidRPr="004F559C" w:rsidRDefault="003335CD" w:rsidP="00B53441">
      <w:pPr>
        <w:pStyle w:val="H1nocontents"/>
        <w:rPr>
          <w:rFonts w:ascii="Arial" w:hAnsi="Arial" w:cs="Arial"/>
          <w:sz w:val="24"/>
          <w:szCs w:val="14"/>
        </w:rPr>
      </w:pPr>
      <w:r w:rsidRPr="004F559C">
        <w:rPr>
          <w:rFonts w:ascii="Arial" w:hAnsi="Arial" w:cs="Arial"/>
          <w:sz w:val="24"/>
          <w:szCs w:val="14"/>
        </w:rPr>
        <w:lastRenderedPageBreak/>
        <w:t xml:space="preserve">Operational Guidance Material </w:t>
      </w:r>
    </w:p>
    <w:p w14:paraId="4B0BE3C2" w14:textId="1346F62D" w:rsidR="00167659" w:rsidRPr="00B5383E" w:rsidRDefault="00167659" w:rsidP="00B53441">
      <w:pPr>
        <w:pStyle w:val="H1nocontents"/>
        <w:rPr>
          <w:rFonts w:ascii="Arial" w:hAnsi="Arial" w:cs="Arial"/>
          <w:b w:val="0"/>
          <w:bCs/>
          <w:color w:val="auto"/>
          <w:sz w:val="24"/>
          <w:szCs w:val="14"/>
        </w:rPr>
      </w:pPr>
      <w:r w:rsidRPr="00B5383E">
        <w:rPr>
          <w:rFonts w:ascii="Arial" w:hAnsi="Arial" w:cs="Arial"/>
          <w:b w:val="0"/>
          <w:bCs/>
          <w:color w:val="auto"/>
          <w:sz w:val="24"/>
          <w:szCs w:val="14"/>
        </w:rPr>
        <w:t>T</w:t>
      </w:r>
      <w:r w:rsidR="003335CD" w:rsidRPr="00B5383E">
        <w:rPr>
          <w:rFonts w:ascii="Arial" w:hAnsi="Arial" w:cs="Arial"/>
          <w:b w:val="0"/>
          <w:bCs/>
          <w:color w:val="auto"/>
          <w:sz w:val="24"/>
          <w:szCs w:val="14"/>
        </w:rPr>
        <w:t>his document forms part of a suite of documents created to provide operationally focused guidance material; the aim of which is to support Shippers in increasing their understanding of non-routine commercial tools utilised by National G</w:t>
      </w:r>
      <w:r w:rsidR="00805CCD">
        <w:rPr>
          <w:rFonts w:ascii="Arial" w:hAnsi="Arial" w:cs="Arial"/>
          <w:b w:val="0"/>
          <w:bCs/>
          <w:color w:val="auto"/>
          <w:sz w:val="24"/>
          <w:szCs w:val="14"/>
        </w:rPr>
        <w:t>as</w:t>
      </w:r>
      <w:r w:rsidR="003335CD" w:rsidRPr="00B5383E">
        <w:rPr>
          <w:rFonts w:ascii="Arial" w:hAnsi="Arial" w:cs="Arial"/>
          <w:b w:val="0"/>
          <w:bCs/>
          <w:color w:val="auto"/>
          <w:sz w:val="24"/>
          <w:szCs w:val="14"/>
        </w:rPr>
        <w:t xml:space="preserve"> so that Shippers can be suitably prepared and ready to participant ahead of an event. </w:t>
      </w:r>
    </w:p>
    <w:p w14:paraId="3F243965" w14:textId="77777777" w:rsidR="00206285" w:rsidRPr="00B5383E" w:rsidRDefault="003335CD" w:rsidP="00B53441">
      <w:pPr>
        <w:pStyle w:val="H1nocontents"/>
        <w:rPr>
          <w:rFonts w:ascii="Arial" w:hAnsi="Arial" w:cs="Arial"/>
          <w:b w:val="0"/>
          <w:bCs/>
          <w:color w:val="auto"/>
          <w:sz w:val="24"/>
          <w:szCs w:val="14"/>
        </w:rPr>
      </w:pPr>
      <w:r w:rsidRPr="00B5383E">
        <w:rPr>
          <w:rFonts w:ascii="Arial" w:hAnsi="Arial" w:cs="Arial"/>
          <w:b w:val="0"/>
          <w:bCs/>
          <w:color w:val="auto"/>
          <w:sz w:val="24"/>
          <w:szCs w:val="14"/>
        </w:rPr>
        <w:t xml:space="preserve">The Operational Guidance Documents detail the optimum way to perform the relevant process based on the current systems available. Where there are alternative ways in which the process could be completed the associated risks and benefits are explored. These documents are not intended to be used a detailed operating process / procedure; however, can be used by each Shipper organisation to assist in creating the operational process steps that are right for them. </w:t>
      </w:r>
    </w:p>
    <w:p w14:paraId="716520AA" w14:textId="77777777" w:rsidR="00206285" w:rsidRDefault="003335CD" w:rsidP="00B53441">
      <w:pPr>
        <w:pStyle w:val="H1nocontents"/>
        <w:rPr>
          <w:b w:val="0"/>
          <w:bCs/>
        </w:rPr>
      </w:pPr>
      <w:r w:rsidRPr="00B5383E">
        <w:rPr>
          <w:rFonts w:ascii="Arial" w:hAnsi="Arial" w:cs="Arial"/>
          <w:b w:val="0"/>
          <w:bCs/>
          <w:color w:val="auto"/>
          <w:sz w:val="24"/>
          <w:szCs w:val="14"/>
        </w:rPr>
        <w:t xml:space="preserve">These documents do not preclude changes or development to commercial tools in collaboration with industry in the future. </w:t>
      </w:r>
    </w:p>
    <w:p w14:paraId="3F83BFFA" w14:textId="77777777" w:rsidR="00206285" w:rsidRPr="00B5383E" w:rsidRDefault="003335CD" w:rsidP="00B53441">
      <w:pPr>
        <w:pStyle w:val="H1nocontents"/>
        <w:rPr>
          <w:rFonts w:ascii="Arial" w:hAnsi="Arial" w:cs="Arial"/>
          <w:sz w:val="24"/>
          <w:szCs w:val="14"/>
        </w:rPr>
      </w:pPr>
      <w:r w:rsidRPr="00B5383E">
        <w:rPr>
          <w:rFonts w:ascii="Arial" w:hAnsi="Arial" w:cs="Arial"/>
          <w:sz w:val="24"/>
          <w:szCs w:val="14"/>
        </w:rPr>
        <w:t xml:space="preserve">Gas Balancing Notification Information Overview </w:t>
      </w:r>
    </w:p>
    <w:p w14:paraId="16375DC9" w14:textId="77777777" w:rsidR="00206285" w:rsidRDefault="003335CD" w:rsidP="00B53441">
      <w:pPr>
        <w:pStyle w:val="H1nocontents"/>
        <w:rPr>
          <w:rFonts w:ascii="Arial" w:hAnsi="Arial" w:cs="Arial"/>
          <w:b w:val="0"/>
          <w:bCs/>
          <w:color w:val="auto"/>
          <w:sz w:val="24"/>
          <w:szCs w:val="14"/>
        </w:rPr>
      </w:pPr>
      <w:r w:rsidRPr="00B5383E">
        <w:rPr>
          <w:rFonts w:ascii="Arial" w:hAnsi="Arial" w:cs="Arial"/>
          <w:b w:val="0"/>
          <w:bCs/>
          <w:color w:val="auto"/>
          <w:sz w:val="24"/>
          <w:szCs w:val="14"/>
        </w:rPr>
        <w:t xml:space="preserve">This document outlines the circumstances in which the Gas National Control Centre (GNCC) may issue a Gas Balancing Notification (GBN) and details the practicalities for users in receipt of such a warning. The following topics are covered: </w:t>
      </w:r>
    </w:p>
    <w:p w14:paraId="653686B7" w14:textId="3B2DC713" w:rsidR="00B075A6" w:rsidRDefault="00B075A6" w:rsidP="00B075A6">
      <w:pPr>
        <w:pStyle w:val="H1nocontents"/>
        <w:numPr>
          <w:ilvl w:val="0"/>
          <w:numId w:val="27"/>
        </w:numPr>
        <w:spacing w:after="0"/>
        <w:rPr>
          <w:rFonts w:ascii="Arial" w:hAnsi="Arial" w:cs="Arial"/>
          <w:b w:val="0"/>
          <w:bCs/>
          <w:color w:val="auto"/>
          <w:sz w:val="24"/>
          <w:szCs w:val="14"/>
        </w:rPr>
      </w:pPr>
      <w:r>
        <w:rPr>
          <w:rFonts w:ascii="Arial" w:hAnsi="Arial" w:cs="Arial"/>
          <w:b w:val="0"/>
          <w:bCs/>
          <w:color w:val="auto"/>
          <w:sz w:val="24"/>
          <w:szCs w:val="14"/>
        </w:rPr>
        <w:t>The objective of a Gas Balancing Notification</w:t>
      </w:r>
    </w:p>
    <w:p w14:paraId="6DED79C4" w14:textId="477721F6" w:rsidR="00B075A6" w:rsidRDefault="00B075A6" w:rsidP="00B075A6">
      <w:pPr>
        <w:pStyle w:val="H1nocontents"/>
        <w:numPr>
          <w:ilvl w:val="0"/>
          <w:numId w:val="27"/>
        </w:numPr>
        <w:spacing w:after="0"/>
        <w:rPr>
          <w:rFonts w:ascii="Arial" w:hAnsi="Arial" w:cs="Arial"/>
          <w:b w:val="0"/>
          <w:bCs/>
          <w:color w:val="auto"/>
          <w:sz w:val="24"/>
          <w:szCs w:val="14"/>
        </w:rPr>
      </w:pPr>
      <w:r>
        <w:rPr>
          <w:rFonts w:ascii="Arial" w:hAnsi="Arial" w:cs="Arial"/>
          <w:b w:val="0"/>
          <w:bCs/>
          <w:color w:val="auto"/>
          <w:sz w:val="24"/>
          <w:szCs w:val="14"/>
        </w:rPr>
        <w:t>Circumstance</w:t>
      </w:r>
      <w:r w:rsidR="00F11BD1">
        <w:rPr>
          <w:rFonts w:ascii="Arial" w:hAnsi="Arial" w:cs="Arial"/>
          <w:b w:val="0"/>
          <w:bCs/>
          <w:color w:val="auto"/>
          <w:sz w:val="24"/>
          <w:szCs w:val="14"/>
        </w:rPr>
        <w:t>s where a Gas Balancing Notification occurs</w:t>
      </w:r>
    </w:p>
    <w:p w14:paraId="0C7643F4" w14:textId="10AAF881" w:rsidR="00F11BD1" w:rsidRDefault="00F11BD1" w:rsidP="00B075A6">
      <w:pPr>
        <w:pStyle w:val="H1nocontents"/>
        <w:numPr>
          <w:ilvl w:val="0"/>
          <w:numId w:val="27"/>
        </w:numPr>
        <w:spacing w:after="0"/>
        <w:rPr>
          <w:rFonts w:ascii="Arial" w:hAnsi="Arial" w:cs="Arial"/>
          <w:b w:val="0"/>
          <w:bCs/>
          <w:color w:val="auto"/>
          <w:sz w:val="24"/>
          <w:szCs w:val="14"/>
        </w:rPr>
      </w:pPr>
      <w:r>
        <w:rPr>
          <w:rFonts w:ascii="Arial" w:hAnsi="Arial" w:cs="Arial"/>
          <w:b w:val="0"/>
          <w:bCs/>
          <w:color w:val="auto"/>
          <w:sz w:val="24"/>
          <w:szCs w:val="14"/>
        </w:rPr>
        <w:t>Overview of the Gas Balancing Notification process</w:t>
      </w:r>
    </w:p>
    <w:p w14:paraId="604DE18D" w14:textId="173FE131" w:rsidR="001645B2" w:rsidRDefault="001645B2" w:rsidP="00B075A6">
      <w:pPr>
        <w:pStyle w:val="H1nocontents"/>
        <w:numPr>
          <w:ilvl w:val="0"/>
          <w:numId w:val="27"/>
        </w:numPr>
        <w:spacing w:after="0"/>
        <w:rPr>
          <w:rFonts w:ascii="Arial" w:hAnsi="Arial" w:cs="Arial"/>
          <w:b w:val="0"/>
          <w:bCs/>
          <w:color w:val="auto"/>
          <w:sz w:val="24"/>
          <w:szCs w:val="14"/>
        </w:rPr>
      </w:pPr>
      <w:r>
        <w:rPr>
          <w:rFonts w:ascii="Arial" w:hAnsi="Arial" w:cs="Arial"/>
          <w:b w:val="0"/>
          <w:bCs/>
          <w:color w:val="auto"/>
          <w:sz w:val="24"/>
          <w:szCs w:val="14"/>
        </w:rPr>
        <w:t>Shipper</w:t>
      </w:r>
      <w:r w:rsidR="00F34FE7">
        <w:rPr>
          <w:rFonts w:ascii="Arial" w:hAnsi="Arial" w:cs="Arial"/>
          <w:b w:val="0"/>
          <w:bCs/>
          <w:color w:val="auto"/>
          <w:sz w:val="24"/>
          <w:szCs w:val="14"/>
        </w:rPr>
        <w:t>/User action</w:t>
      </w:r>
    </w:p>
    <w:p w14:paraId="33E741BC" w14:textId="21C04F08" w:rsidR="00F34FE7" w:rsidRPr="00B075A6" w:rsidRDefault="00F34FE7" w:rsidP="00B075A6">
      <w:pPr>
        <w:pStyle w:val="H1nocontents"/>
        <w:numPr>
          <w:ilvl w:val="0"/>
          <w:numId w:val="27"/>
        </w:numPr>
        <w:spacing w:after="0"/>
        <w:rPr>
          <w:rFonts w:ascii="Arial" w:hAnsi="Arial" w:cs="Arial"/>
          <w:b w:val="0"/>
          <w:bCs/>
          <w:color w:val="auto"/>
          <w:sz w:val="24"/>
          <w:szCs w:val="14"/>
        </w:rPr>
      </w:pPr>
      <w:r>
        <w:rPr>
          <w:rFonts w:ascii="Arial" w:hAnsi="Arial" w:cs="Arial"/>
          <w:b w:val="0"/>
          <w:bCs/>
          <w:color w:val="auto"/>
          <w:sz w:val="24"/>
          <w:szCs w:val="14"/>
        </w:rPr>
        <w:t>Additional information</w:t>
      </w:r>
    </w:p>
    <w:p w14:paraId="0ED2D828" w14:textId="5CE818BE" w:rsidR="008F6159" w:rsidRPr="00B5383E" w:rsidRDefault="008F6159" w:rsidP="00AD686B">
      <w:pPr>
        <w:pStyle w:val="H1nocontents"/>
        <w:spacing w:after="0"/>
        <w:rPr>
          <w:rFonts w:ascii="Arial" w:hAnsi="Arial" w:cs="Arial"/>
          <w:b w:val="0"/>
          <w:bCs/>
          <w:color w:val="auto"/>
          <w:sz w:val="24"/>
          <w:szCs w:val="14"/>
        </w:rPr>
      </w:pPr>
    </w:p>
    <w:p w14:paraId="2EA0255F" w14:textId="77777777" w:rsidR="008F6159" w:rsidRPr="00F34FE7" w:rsidRDefault="003335CD" w:rsidP="00B53441">
      <w:pPr>
        <w:pStyle w:val="H1nocontents"/>
        <w:rPr>
          <w:rFonts w:ascii="Arial" w:hAnsi="Arial" w:cs="Arial"/>
          <w:sz w:val="24"/>
          <w:szCs w:val="14"/>
        </w:rPr>
      </w:pPr>
      <w:r w:rsidRPr="00F34FE7">
        <w:rPr>
          <w:rFonts w:ascii="Arial" w:hAnsi="Arial" w:cs="Arial"/>
          <w:sz w:val="24"/>
          <w:szCs w:val="14"/>
        </w:rPr>
        <w:t xml:space="preserve">Objective of a Gas Balancing Notification </w:t>
      </w:r>
    </w:p>
    <w:p w14:paraId="5836A2CC" w14:textId="77777777" w:rsidR="008F6159" w:rsidRPr="00F34FE7" w:rsidRDefault="003335CD" w:rsidP="00B53441">
      <w:pPr>
        <w:pStyle w:val="H1nocontents"/>
        <w:rPr>
          <w:rFonts w:ascii="Arial" w:hAnsi="Arial" w:cs="Arial"/>
          <w:b w:val="0"/>
          <w:bCs/>
        </w:rPr>
      </w:pPr>
      <w:r w:rsidRPr="00F34FE7">
        <w:rPr>
          <w:rFonts w:ascii="Arial" w:hAnsi="Arial" w:cs="Arial"/>
          <w:b w:val="0"/>
          <w:bCs/>
          <w:color w:val="auto"/>
          <w:sz w:val="24"/>
          <w:szCs w:val="14"/>
        </w:rPr>
        <w:t>The intent of a Gas Balancing Notification is to stimulate a rapid market response to address a projected NTS physical imbalance. Once a GBN has been issued, offers for gas trades from non-OCM subscribers, multiday trades and Demand Side Responses must be considered, in line with the UNC.</w:t>
      </w:r>
      <w:r w:rsidRPr="00F34FE7">
        <w:rPr>
          <w:rFonts w:ascii="Arial" w:hAnsi="Arial" w:cs="Arial"/>
          <w:b w:val="0"/>
          <w:bCs/>
        </w:rPr>
        <w:t xml:space="preserve"> </w:t>
      </w:r>
    </w:p>
    <w:p w14:paraId="249BD892" w14:textId="77777777" w:rsidR="00F0332B" w:rsidRPr="00F34FE7" w:rsidRDefault="003335CD" w:rsidP="00B53441">
      <w:pPr>
        <w:pStyle w:val="H1nocontents"/>
        <w:rPr>
          <w:rFonts w:ascii="Arial" w:hAnsi="Arial" w:cs="Arial"/>
          <w:sz w:val="24"/>
          <w:szCs w:val="24"/>
        </w:rPr>
      </w:pPr>
      <w:r w:rsidRPr="00F34FE7">
        <w:rPr>
          <w:rFonts w:ascii="Arial" w:hAnsi="Arial" w:cs="Arial"/>
          <w:sz w:val="24"/>
          <w:szCs w:val="24"/>
        </w:rPr>
        <w:t xml:space="preserve">Circumstances where a Gas Balancing Notification occurs </w:t>
      </w:r>
    </w:p>
    <w:p w14:paraId="0F29425C" w14:textId="77777777" w:rsidR="00F0332B" w:rsidRPr="00F34FE7" w:rsidRDefault="003335CD" w:rsidP="00B53441">
      <w:pPr>
        <w:pStyle w:val="H1nocontents"/>
        <w:rPr>
          <w:rFonts w:ascii="Arial" w:hAnsi="Arial" w:cs="Arial"/>
          <w:b w:val="0"/>
          <w:bCs/>
          <w:color w:val="auto"/>
          <w:sz w:val="24"/>
          <w:szCs w:val="14"/>
        </w:rPr>
      </w:pPr>
      <w:r w:rsidRPr="00F34FE7">
        <w:rPr>
          <w:rFonts w:ascii="Arial" w:hAnsi="Arial" w:cs="Arial"/>
          <w:b w:val="0"/>
          <w:bCs/>
          <w:color w:val="auto"/>
          <w:sz w:val="24"/>
          <w:szCs w:val="14"/>
        </w:rPr>
        <w:t xml:space="preserve">A Gas Balancing Notification (GBN) is given ahead of, or during the Gas Day, based on expectations of a significant supply or demand event which suggests a substantial end of day </w:t>
      </w:r>
      <w:r w:rsidRPr="00F34FE7">
        <w:rPr>
          <w:rFonts w:ascii="Arial" w:hAnsi="Arial" w:cs="Arial"/>
          <w:b w:val="0"/>
          <w:bCs/>
          <w:color w:val="auto"/>
          <w:sz w:val="24"/>
          <w:szCs w:val="14"/>
        </w:rPr>
        <w:lastRenderedPageBreak/>
        <w:t xml:space="preserve">NTS physical imbalance. This decision will be made by the GNCC based on an assessment of prevailing and projected NTS conditions (such as forecast demand, supply and linepack), plus other information deemed significant; there is no predefined formula to trigger a GBN. </w:t>
      </w:r>
    </w:p>
    <w:p w14:paraId="7D3B4863" w14:textId="77777777" w:rsidR="00F0332B" w:rsidRPr="00F34FE7" w:rsidRDefault="003335CD" w:rsidP="00B53441">
      <w:pPr>
        <w:pStyle w:val="H1nocontents"/>
        <w:rPr>
          <w:rFonts w:ascii="Arial" w:hAnsi="Arial" w:cs="Arial"/>
          <w:b w:val="0"/>
          <w:bCs/>
          <w:color w:val="auto"/>
          <w:sz w:val="24"/>
          <w:szCs w:val="14"/>
        </w:rPr>
      </w:pPr>
      <w:r w:rsidRPr="00F34FE7">
        <w:rPr>
          <w:rFonts w:ascii="Arial" w:hAnsi="Arial" w:cs="Arial"/>
          <w:b w:val="0"/>
          <w:bCs/>
          <w:color w:val="auto"/>
          <w:sz w:val="24"/>
          <w:szCs w:val="14"/>
        </w:rPr>
        <w:t xml:space="preserve">Although there is no defined trigger for issuing a GBN, there are circumstances in which it will supersede a Margins Notice; although the GNCC is not limited to specific factors when determining whether issuance is appropriate. </w:t>
      </w:r>
    </w:p>
    <w:p w14:paraId="65656C44" w14:textId="77777777" w:rsidR="00F0332B" w:rsidRPr="00F34FE7" w:rsidRDefault="003335CD" w:rsidP="00B53441">
      <w:pPr>
        <w:pStyle w:val="H1nocontents"/>
        <w:rPr>
          <w:rFonts w:ascii="Arial" w:hAnsi="Arial" w:cs="Arial"/>
          <w:b w:val="0"/>
          <w:bCs/>
          <w:color w:val="auto"/>
          <w:sz w:val="24"/>
          <w:szCs w:val="14"/>
        </w:rPr>
      </w:pPr>
      <w:r w:rsidRPr="00F34FE7">
        <w:rPr>
          <w:rFonts w:ascii="Arial" w:hAnsi="Arial" w:cs="Arial"/>
          <w:b w:val="0"/>
          <w:bCs/>
          <w:color w:val="auto"/>
          <w:sz w:val="24"/>
          <w:szCs w:val="14"/>
        </w:rPr>
        <w:t xml:space="preserve">A GBN remains in place until a separate Gas Balancing Notification Withdrawal notice is issued; a withdrawal notice indicates that the circumstances prompting the GBN have been resolved, or there is no longer an imminent risk to NTS physical balance or safety. </w:t>
      </w:r>
    </w:p>
    <w:p w14:paraId="334823A7" w14:textId="7B8A538A" w:rsidR="00D10F4A" w:rsidRDefault="003335CD" w:rsidP="00B53441">
      <w:pPr>
        <w:pStyle w:val="H1nocontents"/>
        <w:rPr>
          <w:b w:val="0"/>
          <w:bCs/>
        </w:rPr>
      </w:pPr>
      <w:r w:rsidRPr="00F34FE7">
        <w:rPr>
          <w:rFonts w:ascii="Arial" w:hAnsi="Arial" w:cs="Arial"/>
          <w:b w:val="0"/>
          <w:bCs/>
          <w:color w:val="auto"/>
          <w:sz w:val="24"/>
          <w:szCs w:val="14"/>
        </w:rPr>
        <w:t xml:space="preserve">A GBN may be replaced by a Network Gas Supply Emergency (NGSE) if the relating issues </w:t>
      </w:r>
      <w:proofErr w:type="spellStart"/>
      <w:r w:rsidRPr="00F34FE7">
        <w:rPr>
          <w:rFonts w:ascii="Arial" w:hAnsi="Arial" w:cs="Arial"/>
          <w:b w:val="0"/>
          <w:bCs/>
          <w:color w:val="auto"/>
          <w:sz w:val="24"/>
          <w:szCs w:val="14"/>
        </w:rPr>
        <w:t>can not</w:t>
      </w:r>
      <w:proofErr w:type="spellEnd"/>
      <w:r w:rsidRPr="00F34FE7">
        <w:rPr>
          <w:rFonts w:ascii="Arial" w:hAnsi="Arial" w:cs="Arial"/>
          <w:b w:val="0"/>
          <w:bCs/>
          <w:color w:val="auto"/>
          <w:sz w:val="24"/>
          <w:szCs w:val="14"/>
        </w:rPr>
        <w:t xml:space="preserve"> be resolved, further details relating to NGSE can be found on the following webpage</w:t>
      </w:r>
      <w:r w:rsidR="00B45C92">
        <w:rPr>
          <w:rFonts w:ascii="Arial" w:hAnsi="Arial" w:cs="Arial"/>
          <w:b w:val="0"/>
          <w:bCs/>
          <w:color w:val="auto"/>
          <w:sz w:val="24"/>
          <w:szCs w:val="14"/>
        </w:rPr>
        <w:t xml:space="preserve"> </w:t>
      </w:r>
      <w:hyperlink r:id="rId14" w:history="1">
        <w:r w:rsidR="00B45C92" w:rsidRPr="00B45C92">
          <w:rPr>
            <w:rStyle w:val="Hyperlink"/>
            <w:rFonts w:ascii="Arial" w:hAnsi="Arial" w:cs="Arial"/>
            <w:b w:val="0"/>
            <w:bCs/>
            <w:sz w:val="24"/>
            <w:szCs w:val="14"/>
          </w:rPr>
          <w:t>Emergency response | National Gas</w:t>
        </w:r>
      </w:hyperlink>
      <w:r w:rsidRPr="003335CD">
        <w:rPr>
          <w:b w:val="0"/>
          <w:bCs/>
        </w:rPr>
        <w:t xml:space="preserve"> </w:t>
      </w:r>
    </w:p>
    <w:p w14:paraId="35337AB9" w14:textId="77777777" w:rsidR="00D10F4A" w:rsidRPr="000D2E3D" w:rsidRDefault="003335CD" w:rsidP="00B53441">
      <w:pPr>
        <w:pStyle w:val="H1nocontents"/>
        <w:rPr>
          <w:rFonts w:ascii="Arial" w:hAnsi="Arial" w:cs="Arial"/>
          <w:sz w:val="24"/>
          <w:szCs w:val="24"/>
        </w:rPr>
      </w:pPr>
      <w:r w:rsidRPr="000D2E3D">
        <w:rPr>
          <w:rFonts w:ascii="Arial" w:hAnsi="Arial" w:cs="Arial"/>
          <w:sz w:val="24"/>
          <w:szCs w:val="24"/>
        </w:rPr>
        <w:t xml:space="preserve">Overview of the Gas Balancing Notification Process </w:t>
      </w:r>
    </w:p>
    <w:p w14:paraId="4C4B8152" w14:textId="77777777" w:rsidR="00D10F4A" w:rsidRPr="000602C6" w:rsidRDefault="003335CD" w:rsidP="00B53441">
      <w:pPr>
        <w:pStyle w:val="H1nocontents"/>
        <w:rPr>
          <w:rFonts w:ascii="Arial" w:hAnsi="Arial" w:cs="Arial"/>
          <w:b w:val="0"/>
          <w:bCs/>
          <w:color w:val="auto"/>
          <w:sz w:val="24"/>
          <w:szCs w:val="24"/>
        </w:rPr>
      </w:pPr>
      <w:r w:rsidRPr="000602C6">
        <w:rPr>
          <w:rFonts w:ascii="Arial" w:hAnsi="Arial" w:cs="Arial"/>
          <w:b w:val="0"/>
          <w:bCs/>
          <w:color w:val="auto"/>
          <w:sz w:val="24"/>
          <w:szCs w:val="24"/>
        </w:rPr>
        <w:t xml:space="preserve">A Gas Balancing Notification (GBN) is given ahead of, or during the Gas Day, based on expectations of a significant supply or demand event which suggests a substantial end of day NTS physical imbalance. </w:t>
      </w:r>
    </w:p>
    <w:p w14:paraId="16734A55" w14:textId="33342F3E" w:rsidR="00D10F4A" w:rsidRPr="00872CBB" w:rsidRDefault="003335CD" w:rsidP="00B53441">
      <w:pPr>
        <w:pStyle w:val="H1nocontents"/>
        <w:rPr>
          <w:rFonts w:ascii="Arial" w:hAnsi="Arial" w:cs="Arial"/>
          <w:b w:val="0"/>
          <w:bCs/>
        </w:rPr>
      </w:pPr>
      <w:r w:rsidRPr="00872CBB">
        <w:rPr>
          <w:rFonts w:ascii="Arial" w:hAnsi="Arial" w:cs="Arial"/>
          <w:b w:val="0"/>
          <w:bCs/>
          <w:color w:val="auto"/>
          <w:sz w:val="24"/>
          <w:szCs w:val="14"/>
        </w:rPr>
        <w:t xml:space="preserve">All current information about NTS balancing is available on the </w:t>
      </w:r>
      <w:r w:rsidR="005B77BE">
        <w:rPr>
          <w:rFonts w:ascii="Arial" w:hAnsi="Arial" w:cs="Arial"/>
          <w:b w:val="0"/>
          <w:bCs/>
          <w:color w:val="auto"/>
          <w:sz w:val="24"/>
          <w:szCs w:val="14"/>
        </w:rPr>
        <w:t>Gas Data Portal</w:t>
      </w:r>
      <w:r w:rsidRPr="00872CBB">
        <w:rPr>
          <w:rFonts w:ascii="Arial" w:hAnsi="Arial" w:cs="Arial"/>
          <w:b w:val="0"/>
          <w:bCs/>
          <w:color w:val="auto"/>
          <w:sz w:val="24"/>
          <w:szCs w:val="14"/>
        </w:rPr>
        <w:t xml:space="preserve">; </w:t>
      </w:r>
      <w:hyperlink r:id="rId15" w:history="1">
        <w:r w:rsidR="0068452A" w:rsidRPr="0068452A">
          <w:rPr>
            <w:rStyle w:val="Hyperlink"/>
            <w:rFonts w:ascii="Arial" w:hAnsi="Arial" w:cs="Arial"/>
            <w:b w:val="0"/>
            <w:bCs/>
            <w:sz w:val="24"/>
            <w:szCs w:val="14"/>
          </w:rPr>
          <w:t>Gas system status | National Gas Transmission Data Portal</w:t>
        </w:r>
      </w:hyperlink>
      <w:r w:rsidR="0068452A">
        <w:rPr>
          <w:rFonts w:ascii="Arial" w:hAnsi="Arial" w:cs="Arial"/>
          <w:b w:val="0"/>
          <w:bCs/>
          <w:color w:val="auto"/>
          <w:sz w:val="24"/>
          <w:szCs w:val="14"/>
        </w:rPr>
        <w:t xml:space="preserve"> </w:t>
      </w:r>
      <w:r w:rsidRPr="00872CBB">
        <w:rPr>
          <w:rFonts w:ascii="Arial" w:hAnsi="Arial" w:cs="Arial"/>
          <w:b w:val="0"/>
          <w:bCs/>
          <w:color w:val="auto"/>
          <w:sz w:val="24"/>
          <w:szCs w:val="14"/>
        </w:rPr>
        <w:t xml:space="preserve">By viewing this information Shippers can gain a view on the likelihood of a GBN being called by considering all the factors displayed, especially the supply and demand levels along with the utilised Linepack calculation, listed as a Supplementary Report on the Operational webpage, </w:t>
      </w:r>
      <w:hyperlink r:id="rId16" w:history="1">
        <w:r w:rsidR="005B1C61" w:rsidRPr="005B1C61">
          <w:rPr>
            <w:rStyle w:val="Hyperlink"/>
            <w:rFonts w:ascii="Arial" w:hAnsi="Arial" w:cs="Arial"/>
            <w:b w:val="0"/>
            <w:bCs/>
            <w:sz w:val="24"/>
            <w:szCs w:val="14"/>
          </w:rPr>
          <w:t>Our Data | National Gas</w:t>
        </w:r>
      </w:hyperlink>
      <w:r w:rsidRPr="00872CBB">
        <w:rPr>
          <w:rFonts w:ascii="Arial" w:hAnsi="Arial" w:cs="Arial"/>
          <w:b w:val="0"/>
          <w:bCs/>
          <w:color w:val="auto"/>
          <w:sz w:val="24"/>
          <w:szCs w:val="14"/>
        </w:rPr>
        <w:t xml:space="preserve"> If a GBN is in place, or its potential precursor, a Margins Notice Warning, this will be displayed on the </w:t>
      </w:r>
      <w:r w:rsidR="0097470A">
        <w:rPr>
          <w:rFonts w:ascii="Arial" w:hAnsi="Arial" w:cs="Arial"/>
          <w:b w:val="0"/>
          <w:bCs/>
          <w:color w:val="auto"/>
          <w:sz w:val="24"/>
          <w:szCs w:val="14"/>
        </w:rPr>
        <w:t>Gas Data Portal</w:t>
      </w:r>
      <w:r w:rsidRPr="00872CBB">
        <w:rPr>
          <w:rFonts w:ascii="Arial" w:hAnsi="Arial" w:cs="Arial"/>
          <w:b w:val="0"/>
          <w:bCs/>
          <w:color w:val="auto"/>
          <w:sz w:val="24"/>
          <w:szCs w:val="14"/>
        </w:rPr>
        <w:t xml:space="preserve"> </w:t>
      </w:r>
      <w:r w:rsidR="0097470A">
        <w:rPr>
          <w:rFonts w:ascii="Arial" w:hAnsi="Arial" w:cs="Arial"/>
          <w:b w:val="0"/>
          <w:bCs/>
          <w:color w:val="auto"/>
          <w:sz w:val="24"/>
          <w:szCs w:val="14"/>
        </w:rPr>
        <w:t>at</w:t>
      </w:r>
      <w:r w:rsidRPr="00872CBB">
        <w:rPr>
          <w:rFonts w:ascii="Arial" w:hAnsi="Arial" w:cs="Arial"/>
          <w:b w:val="0"/>
          <w:bCs/>
          <w:color w:val="auto"/>
          <w:sz w:val="24"/>
          <w:szCs w:val="14"/>
        </w:rPr>
        <w:t xml:space="preserve"> the top </w:t>
      </w:r>
      <w:r w:rsidR="0097470A">
        <w:rPr>
          <w:rFonts w:ascii="Arial" w:hAnsi="Arial" w:cs="Arial"/>
          <w:b w:val="0"/>
          <w:bCs/>
          <w:color w:val="auto"/>
          <w:sz w:val="24"/>
          <w:szCs w:val="14"/>
        </w:rPr>
        <w:t>next to</w:t>
      </w:r>
      <w:r w:rsidRPr="00872CBB">
        <w:rPr>
          <w:rFonts w:ascii="Arial" w:hAnsi="Arial" w:cs="Arial"/>
          <w:b w:val="0"/>
          <w:bCs/>
          <w:color w:val="auto"/>
          <w:sz w:val="24"/>
          <w:szCs w:val="14"/>
        </w:rPr>
        <w:t xml:space="preserve"> “</w:t>
      </w:r>
      <w:r w:rsidR="0097470A">
        <w:rPr>
          <w:rFonts w:ascii="Arial" w:hAnsi="Arial" w:cs="Arial"/>
          <w:b w:val="0"/>
          <w:bCs/>
          <w:color w:val="auto"/>
          <w:sz w:val="24"/>
          <w:szCs w:val="14"/>
        </w:rPr>
        <w:t xml:space="preserve">Gas </w:t>
      </w:r>
      <w:r w:rsidRPr="00872CBB">
        <w:rPr>
          <w:rFonts w:ascii="Arial" w:hAnsi="Arial" w:cs="Arial"/>
          <w:b w:val="0"/>
          <w:bCs/>
          <w:color w:val="auto"/>
          <w:sz w:val="24"/>
          <w:szCs w:val="14"/>
        </w:rPr>
        <w:t xml:space="preserve">System Status”. </w:t>
      </w:r>
    </w:p>
    <w:p w14:paraId="30702CF6" w14:textId="77777777" w:rsidR="002C5272" w:rsidRDefault="002C5272" w:rsidP="00B53441">
      <w:pPr>
        <w:pStyle w:val="H1nocontents"/>
        <w:rPr>
          <w:rFonts w:ascii="Arial" w:hAnsi="Arial" w:cs="Arial"/>
          <w:b w:val="0"/>
          <w:bCs/>
          <w:color w:val="auto"/>
          <w:sz w:val="24"/>
          <w:szCs w:val="14"/>
        </w:rPr>
      </w:pPr>
    </w:p>
    <w:p w14:paraId="09F0E906" w14:textId="77777777" w:rsidR="002C5272" w:rsidRDefault="002C5272" w:rsidP="00B53441">
      <w:pPr>
        <w:pStyle w:val="H1nocontents"/>
        <w:rPr>
          <w:rFonts w:ascii="Arial" w:hAnsi="Arial" w:cs="Arial"/>
          <w:b w:val="0"/>
          <w:bCs/>
          <w:color w:val="auto"/>
          <w:sz w:val="24"/>
          <w:szCs w:val="14"/>
        </w:rPr>
      </w:pPr>
    </w:p>
    <w:p w14:paraId="7654550D" w14:textId="77777777" w:rsidR="002C5272" w:rsidRDefault="002C5272" w:rsidP="00B53441">
      <w:pPr>
        <w:pStyle w:val="H1nocontents"/>
        <w:rPr>
          <w:rFonts w:ascii="Arial" w:hAnsi="Arial" w:cs="Arial"/>
          <w:b w:val="0"/>
          <w:bCs/>
          <w:color w:val="auto"/>
          <w:sz w:val="24"/>
          <w:szCs w:val="14"/>
        </w:rPr>
      </w:pPr>
    </w:p>
    <w:p w14:paraId="3D767D5D" w14:textId="77777777" w:rsidR="002C5272" w:rsidRDefault="002C5272" w:rsidP="00B53441">
      <w:pPr>
        <w:pStyle w:val="H1nocontents"/>
        <w:rPr>
          <w:rFonts w:ascii="Arial" w:hAnsi="Arial" w:cs="Arial"/>
          <w:b w:val="0"/>
          <w:bCs/>
          <w:color w:val="auto"/>
          <w:sz w:val="24"/>
          <w:szCs w:val="14"/>
        </w:rPr>
      </w:pPr>
    </w:p>
    <w:p w14:paraId="6AB9B04E" w14:textId="77777777" w:rsidR="002C5272" w:rsidRDefault="002C5272" w:rsidP="00B53441">
      <w:pPr>
        <w:pStyle w:val="H1nocontents"/>
        <w:rPr>
          <w:rFonts w:ascii="Arial" w:hAnsi="Arial" w:cs="Arial"/>
          <w:b w:val="0"/>
          <w:bCs/>
          <w:color w:val="auto"/>
          <w:sz w:val="24"/>
          <w:szCs w:val="14"/>
        </w:rPr>
      </w:pPr>
    </w:p>
    <w:p w14:paraId="75F5B6C9" w14:textId="05B42345" w:rsidR="00D10F4A" w:rsidRPr="002C5272" w:rsidRDefault="003335CD" w:rsidP="00B53441">
      <w:pPr>
        <w:pStyle w:val="H1nocontents"/>
        <w:rPr>
          <w:rFonts w:ascii="Arial" w:hAnsi="Arial" w:cs="Arial"/>
          <w:b w:val="0"/>
          <w:bCs/>
          <w:color w:val="auto"/>
          <w:sz w:val="24"/>
          <w:szCs w:val="14"/>
        </w:rPr>
      </w:pPr>
      <w:r w:rsidRPr="002C5272">
        <w:rPr>
          <w:rFonts w:ascii="Arial" w:hAnsi="Arial" w:cs="Arial"/>
          <w:b w:val="0"/>
          <w:bCs/>
          <w:color w:val="auto"/>
          <w:sz w:val="24"/>
          <w:szCs w:val="14"/>
        </w:rPr>
        <w:lastRenderedPageBreak/>
        <w:t xml:space="preserve">Figure 1. GBN Issuance Process </w:t>
      </w:r>
    </w:p>
    <w:p w14:paraId="1308538A" w14:textId="24DA75F6" w:rsidR="0076119B" w:rsidRDefault="00674924" w:rsidP="00B53441">
      <w:pPr>
        <w:pStyle w:val="H1nocontents"/>
        <w:rPr>
          <w:b w:val="0"/>
          <w:bCs/>
        </w:rPr>
      </w:pPr>
      <w:r w:rsidRPr="00674924">
        <w:rPr>
          <w:b w:val="0"/>
          <w:bCs/>
          <w:noProof/>
        </w:rPr>
        <w:drawing>
          <wp:inline distT="0" distB="0" distL="0" distR="0" wp14:anchorId="6BEC227A" wp14:editId="5CF3806E">
            <wp:extent cx="5550185" cy="3295819"/>
            <wp:effectExtent l="0" t="0" r="0" b="0"/>
            <wp:docPr id="133710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0866" name=""/>
                    <pic:cNvPicPr/>
                  </pic:nvPicPr>
                  <pic:blipFill>
                    <a:blip r:embed="rId17"/>
                    <a:stretch>
                      <a:fillRect/>
                    </a:stretch>
                  </pic:blipFill>
                  <pic:spPr>
                    <a:xfrm>
                      <a:off x="0" y="0"/>
                      <a:ext cx="5550185" cy="3295819"/>
                    </a:xfrm>
                    <a:prstGeom prst="rect">
                      <a:avLst/>
                    </a:prstGeom>
                  </pic:spPr>
                </pic:pic>
              </a:graphicData>
            </a:graphic>
          </wp:inline>
        </w:drawing>
      </w:r>
    </w:p>
    <w:p w14:paraId="6EB9D77F" w14:textId="77777777" w:rsidR="0076119B" w:rsidRDefault="0076119B" w:rsidP="00B53441">
      <w:pPr>
        <w:pStyle w:val="H1nocontents"/>
        <w:rPr>
          <w:b w:val="0"/>
          <w:bCs/>
        </w:rPr>
      </w:pPr>
    </w:p>
    <w:p w14:paraId="0E1C2EA4" w14:textId="747AE9BF" w:rsidR="00F53B47" w:rsidRPr="00C90848" w:rsidRDefault="003335CD" w:rsidP="00B53441">
      <w:pPr>
        <w:pStyle w:val="H1nocontents"/>
        <w:rPr>
          <w:rFonts w:ascii="Arial" w:hAnsi="Arial" w:cs="Arial"/>
          <w:b w:val="0"/>
          <w:bCs/>
          <w:color w:val="auto"/>
          <w:sz w:val="24"/>
          <w:szCs w:val="14"/>
        </w:rPr>
      </w:pPr>
      <w:r w:rsidRPr="00C90848">
        <w:rPr>
          <w:rFonts w:ascii="Arial" w:hAnsi="Arial" w:cs="Arial"/>
          <w:b w:val="0"/>
          <w:bCs/>
          <w:color w:val="auto"/>
          <w:sz w:val="24"/>
          <w:szCs w:val="14"/>
        </w:rPr>
        <w:t>Following declaration of a GBN there are various actions Shippers may take based on their portfolio type/position at the time of issue (Figure 2). OCM offers will be accepted by National G</w:t>
      </w:r>
      <w:r w:rsidR="0097470A">
        <w:rPr>
          <w:rFonts w:ascii="Arial" w:hAnsi="Arial" w:cs="Arial"/>
          <w:b w:val="0"/>
          <w:bCs/>
          <w:color w:val="auto"/>
          <w:sz w:val="24"/>
          <w:szCs w:val="14"/>
        </w:rPr>
        <w:t>as</w:t>
      </w:r>
      <w:r w:rsidRPr="00C90848">
        <w:rPr>
          <w:rFonts w:ascii="Arial" w:hAnsi="Arial" w:cs="Arial"/>
          <w:b w:val="0"/>
          <w:bCs/>
          <w:color w:val="auto"/>
          <w:sz w:val="24"/>
          <w:szCs w:val="14"/>
        </w:rPr>
        <w:t xml:space="preserve"> via </w:t>
      </w:r>
      <w:proofErr w:type="spellStart"/>
      <w:r w:rsidRPr="00C90848">
        <w:rPr>
          <w:rFonts w:ascii="Arial" w:hAnsi="Arial" w:cs="Arial"/>
          <w:b w:val="0"/>
          <w:bCs/>
          <w:color w:val="auto"/>
          <w:sz w:val="24"/>
          <w:szCs w:val="14"/>
        </w:rPr>
        <w:t>WebICE</w:t>
      </w:r>
      <w:proofErr w:type="spellEnd"/>
      <w:r w:rsidRPr="00C90848">
        <w:rPr>
          <w:rFonts w:ascii="Arial" w:hAnsi="Arial" w:cs="Arial"/>
          <w:b w:val="0"/>
          <w:bCs/>
          <w:color w:val="auto"/>
          <w:sz w:val="24"/>
          <w:szCs w:val="14"/>
        </w:rPr>
        <w:t xml:space="preserve"> and translate through to Gemini, the user is then required to confirm the Opposite Flow Activity in Gemini. </w:t>
      </w:r>
    </w:p>
    <w:p w14:paraId="291FDAFB" w14:textId="290BC7E3" w:rsidR="00B93D8E" w:rsidRPr="00C90848" w:rsidRDefault="003335CD" w:rsidP="00B53441">
      <w:pPr>
        <w:pStyle w:val="H1nocontents"/>
        <w:rPr>
          <w:rFonts w:ascii="Arial" w:hAnsi="Arial" w:cs="Arial"/>
          <w:b w:val="0"/>
          <w:bCs/>
        </w:rPr>
      </w:pPr>
      <w:r w:rsidRPr="00C90848">
        <w:rPr>
          <w:rFonts w:ascii="Arial" w:hAnsi="Arial" w:cs="Arial"/>
          <w:b w:val="0"/>
          <w:bCs/>
          <w:color w:val="auto"/>
          <w:sz w:val="24"/>
          <w:szCs w:val="14"/>
        </w:rPr>
        <w:t>Offer The Counter (OTC) offers will be accepted by National G</w:t>
      </w:r>
      <w:r w:rsidR="0097470A">
        <w:rPr>
          <w:rFonts w:ascii="Arial" w:hAnsi="Arial" w:cs="Arial"/>
          <w:b w:val="0"/>
          <w:bCs/>
          <w:color w:val="auto"/>
          <w:sz w:val="24"/>
          <w:szCs w:val="14"/>
        </w:rPr>
        <w:t>as</w:t>
      </w:r>
      <w:r w:rsidRPr="00C90848">
        <w:rPr>
          <w:rFonts w:ascii="Arial" w:hAnsi="Arial" w:cs="Arial"/>
          <w:b w:val="0"/>
          <w:bCs/>
          <w:color w:val="auto"/>
          <w:sz w:val="24"/>
          <w:szCs w:val="14"/>
        </w:rPr>
        <w:t xml:space="preserve"> via Gemini directly. The user counterparty will be contacted and requested to match the trade(s) on Gemini within 1 hour, and to complete a NBP15 Confirmation. Trades not matched within 1 hour will be rejected. P160 and NBP15 Confirmation proformas are available via the website: </w:t>
      </w:r>
      <w:hyperlink r:id="rId18" w:history="1">
        <w:r w:rsidR="00BE3F2D" w:rsidRPr="00BE3F2D">
          <w:rPr>
            <w:rStyle w:val="Hyperlink"/>
            <w:rFonts w:ascii="Arial" w:hAnsi="Arial" w:cs="Arial"/>
            <w:b w:val="0"/>
            <w:bCs/>
            <w:sz w:val="24"/>
            <w:szCs w:val="14"/>
          </w:rPr>
          <w:t>Margins Notice &amp; Gas Balancing Notification | National Gas</w:t>
        </w:r>
      </w:hyperlink>
    </w:p>
    <w:p w14:paraId="01A9B9DD" w14:textId="77777777" w:rsidR="00BE3F2D" w:rsidRDefault="00BE3F2D" w:rsidP="00B53441">
      <w:pPr>
        <w:pStyle w:val="H1nocontents"/>
        <w:rPr>
          <w:rFonts w:ascii="Arial" w:hAnsi="Arial" w:cs="Arial"/>
          <w:b w:val="0"/>
          <w:bCs/>
          <w:color w:val="auto"/>
          <w:sz w:val="24"/>
          <w:szCs w:val="14"/>
        </w:rPr>
      </w:pPr>
    </w:p>
    <w:p w14:paraId="6CD41FAE" w14:textId="77777777" w:rsidR="00BE3F2D" w:rsidRDefault="00BE3F2D" w:rsidP="00B53441">
      <w:pPr>
        <w:pStyle w:val="H1nocontents"/>
        <w:rPr>
          <w:rFonts w:ascii="Arial" w:hAnsi="Arial" w:cs="Arial"/>
          <w:b w:val="0"/>
          <w:bCs/>
          <w:color w:val="auto"/>
          <w:sz w:val="24"/>
          <w:szCs w:val="14"/>
        </w:rPr>
      </w:pPr>
    </w:p>
    <w:p w14:paraId="719EA8B3" w14:textId="77777777" w:rsidR="00BE3F2D" w:rsidRDefault="00BE3F2D" w:rsidP="00B53441">
      <w:pPr>
        <w:pStyle w:val="H1nocontents"/>
        <w:rPr>
          <w:rFonts w:ascii="Arial" w:hAnsi="Arial" w:cs="Arial"/>
          <w:b w:val="0"/>
          <w:bCs/>
          <w:color w:val="auto"/>
          <w:sz w:val="24"/>
          <w:szCs w:val="14"/>
        </w:rPr>
      </w:pPr>
    </w:p>
    <w:p w14:paraId="22295002" w14:textId="20D04974" w:rsidR="00B93D8E" w:rsidRPr="00BE3F2D" w:rsidRDefault="003335CD" w:rsidP="00B53441">
      <w:pPr>
        <w:pStyle w:val="H1nocontents"/>
        <w:rPr>
          <w:rFonts w:ascii="Arial" w:hAnsi="Arial" w:cs="Arial"/>
          <w:b w:val="0"/>
          <w:bCs/>
          <w:color w:val="auto"/>
          <w:sz w:val="24"/>
          <w:szCs w:val="14"/>
        </w:rPr>
      </w:pPr>
      <w:r w:rsidRPr="00BE3F2D">
        <w:rPr>
          <w:rFonts w:ascii="Arial" w:hAnsi="Arial" w:cs="Arial"/>
          <w:b w:val="0"/>
          <w:bCs/>
          <w:color w:val="auto"/>
          <w:sz w:val="24"/>
          <w:szCs w:val="14"/>
        </w:rPr>
        <w:lastRenderedPageBreak/>
        <w:t xml:space="preserve">Figure 2. GBN User Response Process </w:t>
      </w:r>
    </w:p>
    <w:p w14:paraId="10EFE1D6" w14:textId="62D18634" w:rsidR="00674924" w:rsidRDefault="007F0B65" w:rsidP="00B53441">
      <w:pPr>
        <w:pStyle w:val="H1nocontents"/>
        <w:rPr>
          <w:b w:val="0"/>
          <w:bCs/>
        </w:rPr>
      </w:pPr>
      <w:r w:rsidRPr="007F0B65">
        <w:rPr>
          <w:b w:val="0"/>
          <w:bCs/>
          <w:noProof/>
        </w:rPr>
        <w:drawing>
          <wp:inline distT="0" distB="0" distL="0" distR="0" wp14:anchorId="1B166E88" wp14:editId="46000622">
            <wp:extent cx="3549832" cy="4095961"/>
            <wp:effectExtent l="0" t="0" r="0" b="0"/>
            <wp:docPr id="1634490678" name="Picture 1" descr="A diagram of a busin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90678" name="Picture 1" descr="A diagram of a business&#10;&#10;Description automatically generated with medium confidence"/>
                    <pic:cNvPicPr/>
                  </pic:nvPicPr>
                  <pic:blipFill>
                    <a:blip r:embed="rId19"/>
                    <a:stretch>
                      <a:fillRect/>
                    </a:stretch>
                  </pic:blipFill>
                  <pic:spPr>
                    <a:xfrm>
                      <a:off x="0" y="0"/>
                      <a:ext cx="3549832" cy="4095961"/>
                    </a:xfrm>
                    <a:prstGeom prst="rect">
                      <a:avLst/>
                    </a:prstGeom>
                  </pic:spPr>
                </pic:pic>
              </a:graphicData>
            </a:graphic>
          </wp:inline>
        </w:drawing>
      </w:r>
    </w:p>
    <w:p w14:paraId="7C4B28FD" w14:textId="6D573E41" w:rsidR="003C329E" w:rsidRPr="000D2E3D" w:rsidRDefault="003C329E" w:rsidP="00B53441">
      <w:pPr>
        <w:pStyle w:val="H1nocontents"/>
        <w:rPr>
          <w:rFonts w:ascii="Arial" w:hAnsi="Arial" w:cs="Arial"/>
          <w:sz w:val="24"/>
          <w:szCs w:val="14"/>
        </w:rPr>
      </w:pPr>
      <w:r w:rsidRPr="000D2E3D">
        <w:rPr>
          <w:rFonts w:ascii="Arial" w:hAnsi="Arial" w:cs="Arial"/>
          <w:sz w:val="24"/>
          <w:szCs w:val="14"/>
        </w:rPr>
        <w:t>Shipper/User Action</w:t>
      </w:r>
    </w:p>
    <w:p w14:paraId="7FA46D63" w14:textId="77777777" w:rsidR="004833AF" w:rsidRPr="000D2E3D" w:rsidRDefault="003335CD" w:rsidP="00B53441">
      <w:pPr>
        <w:pStyle w:val="H1nocontents"/>
        <w:rPr>
          <w:rFonts w:ascii="Arial" w:hAnsi="Arial" w:cs="Arial"/>
          <w:b w:val="0"/>
          <w:bCs/>
          <w:color w:val="auto"/>
          <w:sz w:val="24"/>
          <w:szCs w:val="14"/>
        </w:rPr>
      </w:pPr>
      <w:r w:rsidRPr="000D2E3D">
        <w:rPr>
          <w:rFonts w:ascii="Arial" w:hAnsi="Arial" w:cs="Arial"/>
          <w:b w:val="0"/>
          <w:bCs/>
          <w:color w:val="auto"/>
          <w:sz w:val="24"/>
          <w:szCs w:val="14"/>
        </w:rPr>
        <w:t xml:space="preserve">For the ‘GBN commercial tool to function correctly it is expected that Shippers will facilitate as follows: </w:t>
      </w:r>
    </w:p>
    <w:p w14:paraId="075E012A" w14:textId="77777777" w:rsidR="004833AF" w:rsidRPr="000D2E3D" w:rsidRDefault="003335CD" w:rsidP="00B53441">
      <w:pPr>
        <w:pStyle w:val="H1nocontents"/>
        <w:rPr>
          <w:rFonts w:ascii="Arial" w:hAnsi="Arial" w:cs="Arial"/>
          <w:b w:val="0"/>
          <w:bCs/>
          <w:color w:val="auto"/>
          <w:sz w:val="24"/>
          <w:szCs w:val="14"/>
        </w:rPr>
      </w:pPr>
      <w:r w:rsidRPr="000D2E3D">
        <w:rPr>
          <w:rFonts w:ascii="Arial" w:hAnsi="Arial" w:cs="Arial"/>
          <w:b w:val="0"/>
          <w:bCs/>
          <w:color w:val="auto"/>
          <w:sz w:val="24"/>
          <w:szCs w:val="14"/>
        </w:rPr>
        <w:t xml:space="preserve">In advance of a GBN </w:t>
      </w:r>
    </w:p>
    <w:p w14:paraId="1DB1C567" w14:textId="77777777" w:rsidR="007E2EA6" w:rsidRPr="000D2E3D" w:rsidRDefault="003335CD" w:rsidP="006A4688">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Maintain ANS contact details routinely to ensure important messages are received. </w:t>
      </w:r>
    </w:p>
    <w:p w14:paraId="78155C89" w14:textId="2B023C9C" w:rsidR="007E7681"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w:t>
      </w:r>
      <w:r w:rsidR="006A4688">
        <w:rPr>
          <w:rFonts w:ascii="Arial" w:hAnsi="Arial" w:cs="Arial"/>
          <w:b w:val="0"/>
          <w:bCs/>
          <w:color w:val="auto"/>
          <w:sz w:val="24"/>
          <w:szCs w:val="14"/>
        </w:rPr>
        <w:t xml:space="preserve"> </w:t>
      </w:r>
      <w:r w:rsidRPr="000D2E3D">
        <w:rPr>
          <w:rFonts w:ascii="Arial" w:hAnsi="Arial" w:cs="Arial"/>
          <w:b w:val="0"/>
          <w:bCs/>
          <w:color w:val="auto"/>
          <w:sz w:val="24"/>
          <w:szCs w:val="14"/>
        </w:rPr>
        <w:t xml:space="preserve">Register for National Grid’s free text or email subscription service for Gas Balancing </w:t>
      </w:r>
      <w:r w:rsidR="00593117">
        <w:rPr>
          <w:rFonts w:ascii="Arial" w:hAnsi="Arial" w:cs="Arial"/>
          <w:b w:val="0"/>
          <w:bCs/>
          <w:color w:val="auto"/>
          <w:sz w:val="24"/>
          <w:szCs w:val="14"/>
        </w:rPr>
        <w:t xml:space="preserve">      </w:t>
      </w:r>
      <w:r w:rsidRPr="000D2E3D">
        <w:rPr>
          <w:rFonts w:ascii="Arial" w:hAnsi="Arial" w:cs="Arial"/>
          <w:b w:val="0"/>
          <w:bCs/>
          <w:color w:val="auto"/>
          <w:sz w:val="24"/>
          <w:szCs w:val="14"/>
        </w:rPr>
        <w:t xml:space="preserve">Notifications - </w:t>
      </w:r>
      <w:hyperlink r:id="rId20" w:history="1">
        <w:r w:rsidR="006A4688" w:rsidRPr="006A4688">
          <w:rPr>
            <w:rStyle w:val="Hyperlink"/>
            <w:rFonts w:ascii="Arial" w:hAnsi="Arial" w:cs="Arial"/>
            <w:b w:val="0"/>
            <w:bCs/>
            <w:sz w:val="24"/>
            <w:szCs w:val="14"/>
          </w:rPr>
          <w:t>Margins Notice &amp; Gas Balancing Notification | National Gas</w:t>
        </w:r>
      </w:hyperlink>
      <w:r w:rsidRPr="000D2E3D">
        <w:rPr>
          <w:rFonts w:ascii="Arial" w:hAnsi="Arial" w:cs="Arial"/>
          <w:b w:val="0"/>
          <w:bCs/>
          <w:color w:val="auto"/>
          <w:sz w:val="24"/>
          <w:szCs w:val="14"/>
        </w:rPr>
        <w:t xml:space="preserve"> </w:t>
      </w:r>
    </w:p>
    <w:p w14:paraId="01F37AD1" w14:textId="77777777" w:rsidR="00593117" w:rsidRDefault="00593117" w:rsidP="00B53441">
      <w:pPr>
        <w:pStyle w:val="H1nocontents"/>
        <w:rPr>
          <w:rFonts w:ascii="Arial" w:hAnsi="Arial" w:cs="Arial"/>
          <w:b w:val="0"/>
          <w:bCs/>
          <w:color w:val="auto"/>
          <w:sz w:val="24"/>
          <w:szCs w:val="14"/>
        </w:rPr>
      </w:pPr>
    </w:p>
    <w:p w14:paraId="51E13ED5" w14:textId="77777777" w:rsidR="00C50FB5" w:rsidRDefault="00C50FB5" w:rsidP="00B53441">
      <w:pPr>
        <w:pStyle w:val="H1nocontents"/>
        <w:rPr>
          <w:rFonts w:ascii="Arial" w:hAnsi="Arial" w:cs="Arial"/>
          <w:b w:val="0"/>
          <w:bCs/>
          <w:color w:val="auto"/>
          <w:sz w:val="24"/>
          <w:szCs w:val="14"/>
        </w:rPr>
      </w:pPr>
    </w:p>
    <w:p w14:paraId="1E69B3D4" w14:textId="526A44E1" w:rsidR="007E7681" w:rsidRPr="000D2E3D" w:rsidRDefault="003335CD" w:rsidP="00B53441">
      <w:pPr>
        <w:pStyle w:val="H1nocontents"/>
        <w:rPr>
          <w:rFonts w:ascii="Arial" w:hAnsi="Arial" w:cs="Arial"/>
          <w:b w:val="0"/>
          <w:bCs/>
          <w:color w:val="auto"/>
          <w:sz w:val="24"/>
          <w:szCs w:val="14"/>
        </w:rPr>
      </w:pPr>
      <w:r w:rsidRPr="000D2E3D">
        <w:rPr>
          <w:rFonts w:ascii="Arial" w:hAnsi="Arial" w:cs="Arial"/>
          <w:b w:val="0"/>
          <w:bCs/>
          <w:color w:val="auto"/>
          <w:sz w:val="24"/>
          <w:szCs w:val="14"/>
        </w:rPr>
        <w:lastRenderedPageBreak/>
        <w:t xml:space="preserve">On receipt of a GBN </w:t>
      </w:r>
    </w:p>
    <w:p w14:paraId="0F38488A" w14:textId="77777777" w:rsidR="007E7681"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Take immediate actions to rectify expected imbalances </w:t>
      </w:r>
    </w:p>
    <w:p w14:paraId="222B610C" w14:textId="77777777" w:rsidR="007E7681"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Place bids/offers on the OCM for in day trades </w:t>
      </w:r>
    </w:p>
    <w:p w14:paraId="503C2C4F" w14:textId="77777777" w:rsidR="007E7681"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Place bids/offers on the OCM for multiday trades (for a maximum of 7 gas days) </w:t>
      </w:r>
    </w:p>
    <w:p w14:paraId="14533989" w14:textId="77777777" w:rsidR="00593117"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Place bids/offers for DSR (see separate guidance) </w:t>
      </w:r>
    </w:p>
    <w:p w14:paraId="5F556063" w14:textId="4A17999E" w:rsidR="007E7681"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Non-OCM users to place bids/offers for</w:t>
      </w:r>
      <w:r w:rsidR="00593117">
        <w:rPr>
          <w:rFonts w:ascii="Arial" w:hAnsi="Arial" w:cs="Arial"/>
          <w:b w:val="0"/>
          <w:bCs/>
          <w:color w:val="auto"/>
          <w:sz w:val="24"/>
          <w:szCs w:val="14"/>
        </w:rPr>
        <w:t xml:space="preserve"> </w:t>
      </w:r>
      <w:r w:rsidRPr="000D2E3D">
        <w:rPr>
          <w:rFonts w:ascii="Arial" w:hAnsi="Arial" w:cs="Arial"/>
          <w:b w:val="0"/>
          <w:bCs/>
          <w:color w:val="auto"/>
          <w:sz w:val="24"/>
          <w:szCs w:val="14"/>
        </w:rPr>
        <w:t xml:space="preserve">OTC trades. </w:t>
      </w:r>
    </w:p>
    <w:p w14:paraId="687D3ECE" w14:textId="77777777" w:rsidR="009C7BDF" w:rsidRPr="000D2E3D" w:rsidRDefault="003335CD" w:rsidP="00593117">
      <w:pPr>
        <w:pStyle w:val="H1nocontents"/>
        <w:spacing w:after="0"/>
        <w:rPr>
          <w:rFonts w:ascii="Arial" w:hAnsi="Arial" w:cs="Arial"/>
          <w:b w:val="0"/>
          <w:bCs/>
          <w:color w:val="auto"/>
          <w:sz w:val="24"/>
          <w:szCs w:val="14"/>
        </w:rPr>
      </w:pPr>
      <w:r w:rsidRPr="000D2E3D">
        <w:rPr>
          <w:rFonts w:ascii="Arial" w:hAnsi="Arial" w:cs="Arial"/>
          <w:b w:val="0"/>
          <w:bCs/>
          <w:color w:val="auto"/>
          <w:sz w:val="24"/>
          <w:szCs w:val="14"/>
        </w:rPr>
        <w:t xml:space="preserve">• OTC offers can be made via phone (0870 191 0636) users should be ready to confirm the details via the P160 proforma. </w:t>
      </w:r>
    </w:p>
    <w:p w14:paraId="3DB2C049" w14:textId="77777777" w:rsidR="00E52B4C" w:rsidRDefault="00E52B4C" w:rsidP="00B53441">
      <w:pPr>
        <w:pStyle w:val="H1nocontents"/>
        <w:rPr>
          <w:rFonts w:ascii="Arial" w:hAnsi="Arial" w:cs="Arial"/>
          <w:color w:val="auto"/>
          <w:sz w:val="24"/>
          <w:szCs w:val="14"/>
        </w:rPr>
      </w:pPr>
    </w:p>
    <w:p w14:paraId="3EDDF1B2" w14:textId="04AC4930" w:rsidR="009C7BDF" w:rsidRPr="000D2E3D" w:rsidRDefault="003335CD" w:rsidP="00B53441">
      <w:pPr>
        <w:pStyle w:val="H1nocontents"/>
        <w:rPr>
          <w:rFonts w:ascii="Arial" w:hAnsi="Arial" w:cs="Arial"/>
          <w:b w:val="0"/>
          <w:bCs/>
          <w:color w:val="auto"/>
          <w:sz w:val="24"/>
          <w:szCs w:val="14"/>
        </w:rPr>
      </w:pPr>
      <w:r w:rsidRPr="000D2E3D">
        <w:rPr>
          <w:rFonts w:ascii="Arial" w:hAnsi="Arial" w:cs="Arial"/>
          <w:color w:val="auto"/>
          <w:sz w:val="24"/>
          <w:szCs w:val="14"/>
        </w:rPr>
        <w:t>NOTE</w:t>
      </w:r>
      <w:r w:rsidRPr="000D2E3D">
        <w:rPr>
          <w:rFonts w:ascii="Arial" w:hAnsi="Arial" w:cs="Arial"/>
          <w:b w:val="0"/>
          <w:bCs/>
          <w:color w:val="auto"/>
          <w:sz w:val="24"/>
          <w:szCs w:val="14"/>
        </w:rPr>
        <w:t>: National G</w:t>
      </w:r>
      <w:r w:rsidR="00C50FB5">
        <w:rPr>
          <w:rFonts w:ascii="Arial" w:hAnsi="Arial" w:cs="Arial"/>
          <w:b w:val="0"/>
          <w:bCs/>
          <w:color w:val="auto"/>
          <w:sz w:val="24"/>
          <w:szCs w:val="14"/>
        </w:rPr>
        <w:t>as</w:t>
      </w:r>
      <w:r w:rsidRPr="000D2E3D">
        <w:rPr>
          <w:rFonts w:ascii="Arial" w:hAnsi="Arial" w:cs="Arial"/>
          <w:b w:val="0"/>
          <w:bCs/>
          <w:color w:val="auto"/>
          <w:sz w:val="24"/>
          <w:szCs w:val="14"/>
        </w:rPr>
        <w:t xml:space="preserve"> will not accept OTC offers from OCM subscribers. </w:t>
      </w:r>
    </w:p>
    <w:p w14:paraId="5AA050AB" w14:textId="77777777" w:rsidR="008F5174" w:rsidRDefault="008F5174" w:rsidP="00B53441">
      <w:pPr>
        <w:pStyle w:val="H1nocontents"/>
        <w:rPr>
          <w:rFonts w:ascii="Arial" w:hAnsi="Arial" w:cs="Arial"/>
          <w:sz w:val="24"/>
          <w:szCs w:val="14"/>
        </w:rPr>
      </w:pPr>
    </w:p>
    <w:p w14:paraId="5B3EBCAA" w14:textId="5BCCCB4E" w:rsidR="009C7BDF" w:rsidRPr="00E52B4C" w:rsidRDefault="009C7BDF" w:rsidP="00B53441">
      <w:pPr>
        <w:pStyle w:val="H1nocontents"/>
        <w:rPr>
          <w:rFonts w:ascii="Arial" w:hAnsi="Arial" w:cs="Arial"/>
          <w:sz w:val="24"/>
          <w:szCs w:val="14"/>
        </w:rPr>
      </w:pPr>
      <w:r w:rsidRPr="00E52B4C">
        <w:rPr>
          <w:rFonts w:ascii="Arial" w:hAnsi="Arial" w:cs="Arial"/>
          <w:sz w:val="24"/>
          <w:szCs w:val="14"/>
        </w:rPr>
        <w:t>Additional Information</w:t>
      </w:r>
    </w:p>
    <w:p w14:paraId="7E7CDF83" w14:textId="1110864D" w:rsidR="00891A82" w:rsidRPr="008F5174" w:rsidRDefault="003335CD" w:rsidP="00891A82">
      <w:pPr>
        <w:pStyle w:val="H1nocontents"/>
        <w:spacing w:after="0"/>
        <w:rPr>
          <w:rFonts w:ascii="Arial" w:hAnsi="Arial" w:cs="Arial"/>
          <w:color w:val="auto"/>
          <w:sz w:val="24"/>
          <w:szCs w:val="14"/>
        </w:rPr>
      </w:pPr>
      <w:r w:rsidRPr="008F5174">
        <w:rPr>
          <w:rFonts w:ascii="Arial" w:hAnsi="Arial" w:cs="Arial"/>
          <w:color w:val="auto"/>
          <w:sz w:val="24"/>
          <w:szCs w:val="14"/>
        </w:rPr>
        <w:t xml:space="preserve">National Gas Balancing Notification Web Page </w:t>
      </w:r>
    </w:p>
    <w:p w14:paraId="38AE2029" w14:textId="786B2CC0" w:rsidR="00891A82" w:rsidRDefault="0020648A" w:rsidP="00891A82">
      <w:pPr>
        <w:pStyle w:val="H1nocontents"/>
        <w:spacing w:after="0"/>
        <w:rPr>
          <w:rFonts w:ascii="Arial" w:hAnsi="Arial" w:cs="Arial"/>
          <w:b w:val="0"/>
          <w:bCs/>
          <w:color w:val="auto"/>
          <w:sz w:val="24"/>
          <w:szCs w:val="14"/>
        </w:rPr>
      </w:pPr>
      <w:hyperlink r:id="rId21" w:history="1">
        <w:r w:rsidRPr="0020648A">
          <w:rPr>
            <w:rStyle w:val="Hyperlink"/>
            <w:rFonts w:ascii="Arial" w:hAnsi="Arial" w:cs="Arial"/>
            <w:b w:val="0"/>
            <w:bCs/>
            <w:sz w:val="24"/>
            <w:szCs w:val="14"/>
          </w:rPr>
          <w:t>Margins Notice &amp; Gas Balancing Notification | National Gas</w:t>
        </w:r>
      </w:hyperlink>
    </w:p>
    <w:p w14:paraId="47839B41" w14:textId="77777777" w:rsidR="0020648A" w:rsidRPr="00891A82" w:rsidRDefault="0020648A" w:rsidP="00891A82">
      <w:pPr>
        <w:pStyle w:val="H1nocontents"/>
        <w:spacing w:after="0"/>
        <w:rPr>
          <w:rFonts w:ascii="Arial" w:hAnsi="Arial" w:cs="Arial"/>
          <w:b w:val="0"/>
          <w:bCs/>
          <w:color w:val="auto"/>
          <w:sz w:val="24"/>
          <w:szCs w:val="14"/>
        </w:rPr>
      </w:pPr>
    </w:p>
    <w:p w14:paraId="3EDD4034" w14:textId="311AEC78" w:rsidR="0020648A" w:rsidRPr="008F5174" w:rsidRDefault="003335CD" w:rsidP="00891A82">
      <w:pPr>
        <w:pStyle w:val="H1nocontents"/>
        <w:spacing w:after="0"/>
        <w:rPr>
          <w:rFonts w:ascii="Arial" w:hAnsi="Arial" w:cs="Arial"/>
          <w:color w:val="auto"/>
          <w:sz w:val="24"/>
          <w:szCs w:val="14"/>
        </w:rPr>
      </w:pPr>
      <w:r w:rsidRPr="008F5174">
        <w:rPr>
          <w:rFonts w:ascii="Arial" w:hAnsi="Arial" w:cs="Arial"/>
          <w:color w:val="auto"/>
          <w:sz w:val="24"/>
          <w:szCs w:val="14"/>
        </w:rPr>
        <w:t>National G</w:t>
      </w:r>
      <w:r w:rsidR="00C50FB5">
        <w:rPr>
          <w:rFonts w:ascii="Arial" w:hAnsi="Arial" w:cs="Arial"/>
          <w:color w:val="auto"/>
          <w:sz w:val="24"/>
          <w:szCs w:val="14"/>
        </w:rPr>
        <w:t>as</w:t>
      </w:r>
      <w:r w:rsidRPr="008F5174">
        <w:rPr>
          <w:rFonts w:ascii="Arial" w:hAnsi="Arial" w:cs="Arial"/>
          <w:color w:val="auto"/>
          <w:sz w:val="24"/>
          <w:szCs w:val="14"/>
        </w:rPr>
        <w:t xml:space="preserve"> </w:t>
      </w:r>
      <w:r w:rsidR="00C50FB5">
        <w:rPr>
          <w:rFonts w:ascii="Arial" w:hAnsi="Arial" w:cs="Arial"/>
          <w:color w:val="auto"/>
          <w:sz w:val="24"/>
          <w:szCs w:val="14"/>
        </w:rPr>
        <w:t>Data Portal</w:t>
      </w:r>
    </w:p>
    <w:p w14:paraId="6416B93C" w14:textId="14467CAA" w:rsidR="008F5174" w:rsidRDefault="008F5174" w:rsidP="00891A82">
      <w:pPr>
        <w:pStyle w:val="H1nocontents"/>
        <w:spacing w:after="0"/>
        <w:rPr>
          <w:rFonts w:ascii="Arial" w:hAnsi="Arial" w:cs="Arial"/>
          <w:b w:val="0"/>
          <w:bCs/>
          <w:color w:val="auto"/>
          <w:sz w:val="24"/>
          <w:szCs w:val="14"/>
        </w:rPr>
      </w:pPr>
      <w:hyperlink r:id="rId22" w:history="1">
        <w:r w:rsidRPr="008F5174">
          <w:rPr>
            <w:rStyle w:val="Hyperlink"/>
            <w:rFonts w:ascii="Arial" w:hAnsi="Arial" w:cs="Arial"/>
            <w:b w:val="0"/>
            <w:bCs/>
            <w:sz w:val="24"/>
            <w:szCs w:val="14"/>
          </w:rPr>
          <w:t>Home | National Gas Transmission Data Portal</w:t>
        </w:r>
      </w:hyperlink>
    </w:p>
    <w:p w14:paraId="68421361" w14:textId="77777777" w:rsidR="0020648A" w:rsidRDefault="0020648A" w:rsidP="00891A82">
      <w:pPr>
        <w:pStyle w:val="H1nocontents"/>
        <w:spacing w:after="0"/>
        <w:rPr>
          <w:rFonts w:ascii="Arial" w:hAnsi="Arial" w:cs="Arial"/>
          <w:b w:val="0"/>
          <w:bCs/>
          <w:color w:val="auto"/>
          <w:sz w:val="24"/>
          <w:szCs w:val="14"/>
        </w:rPr>
      </w:pPr>
    </w:p>
    <w:p w14:paraId="098C07C2" w14:textId="7C3A6BAF" w:rsidR="009C7BDF" w:rsidRPr="008F5174" w:rsidRDefault="003335CD" w:rsidP="00891A82">
      <w:pPr>
        <w:pStyle w:val="H1nocontents"/>
        <w:spacing w:after="0"/>
        <w:rPr>
          <w:rFonts w:ascii="Arial" w:hAnsi="Arial" w:cs="Arial"/>
          <w:color w:val="auto"/>
          <w:sz w:val="24"/>
          <w:szCs w:val="14"/>
        </w:rPr>
      </w:pPr>
      <w:r w:rsidRPr="008F5174">
        <w:rPr>
          <w:rFonts w:ascii="Arial" w:hAnsi="Arial" w:cs="Arial"/>
          <w:color w:val="auto"/>
          <w:sz w:val="24"/>
          <w:szCs w:val="14"/>
        </w:rPr>
        <w:t xml:space="preserve">Contact for more information </w:t>
      </w:r>
    </w:p>
    <w:p w14:paraId="51CE3CD3" w14:textId="4E9ABCAF" w:rsidR="009C7BDF" w:rsidRDefault="003335CD" w:rsidP="00891A82">
      <w:pPr>
        <w:pStyle w:val="H1nocontents"/>
        <w:spacing w:after="0"/>
        <w:rPr>
          <w:rFonts w:ascii="Arial" w:hAnsi="Arial" w:cs="Arial"/>
          <w:b w:val="0"/>
          <w:bCs/>
          <w:color w:val="auto"/>
          <w:sz w:val="24"/>
          <w:szCs w:val="14"/>
        </w:rPr>
      </w:pPr>
      <w:r w:rsidRPr="00891A82">
        <w:rPr>
          <w:rFonts w:ascii="Arial" w:hAnsi="Arial" w:cs="Arial"/>
          <w:b w:val="0"/>
          <w:bCs/>
          <w:color w:val="auto"/>
          <w:sz w:val="24"/>
          <w:szCs w:val="14"/>
        </w:rPr>
        <w:t>Energy Balancing Team -</w:t>
      </w:r>
      <w:r w:rsidR="004843FD">
        <w:rPr>
          <w:rFonts w:ascii="Arial" w:hAnsi="Arial" w:cs="Arial"/>
          <w:b w:val="0"/>
          <w:bCs/>
          <w:color w:val="auto"/>
          <w:sz w:val="24"/>
          <w:szCs w:val="14"/>
        </w:rPr>
        <w:t xml:space="preserve"> </w:t>
      </w:r>
      <w:hyperlink r:id="rId23" w:history="1">
        <w:r w:rsidR="00A51B29" w:rsidRPr="0033773C">
          <w:rPr>
            <w:rStyle w:val="Hyperlink"/>
            <w:rFonts w:ascii="Arial" w:hAnsi="Arial" w:cs="Arial"/>
            <w:b w:val="0"/>
            <w:bCs/>
            <w:sz w:val="24"/>
            <w:szCs w:val="14"/>
          </w:rPr>
          <w:t>box.energybalancing@nationalgas.com</w:t>
        </w:r>
      </w:hyperlink>
      <w:r w:rsidR="00A51B29">
        <w:rPr>
          <w:rFonts w:ascii="Arial" w:hAnsi="Arial" w:cs="Arial"/>
          <w:b w:val="0"/>
          <w:bCs/>
          <w:color w:val="auto"/>
          <w:sz w:val="24"/>
          <w:szCs w:val="14"/>
        </w:rPr>
        <w:t xml:space="preserve"> / </w:t>
      </w:r>
      <w:hyperlink r:id="rId24" w:history="1">
        <w:r w:rsidR="004843FD" w:rsidRPr="0033773C">
          <w:rPr>
            <w:rStyle w:val="Hyperlink"/>
            <w:rFonts w:ascii="Arial" w:hAnsi="Arial" w:cs="Arial"/>
            <w:b w:val="0"/>
            <w:bCs/>
            <w:sz w:val="24"/>
            <w:szCs w:val="14"/>
          </w:rPr>
          <w:t>Box.UniqueSites@nationalgas.com</w:t>
        </w:r>
      </w:hyperlink>
      <w:r w:rsidR="004843FD">
        <w:rPr>
          <w:rFonts w:ascii="Arial" w:hAnsi="Arial" w:cs="Arial"/>
          <w:b w:val="0"/>
          <w:bCs/>
          <w:color w:val="auto"/>
          <w:sz w:val="24"/>
          <w:szCs w:val="14"/>
        </w:rPr>
        <w:t xml:space="preserve"> </w:t>
      </w:r>
    </w:p>
    <w:p w14:paraId="1D54D28B" w14:textId="77777777" w:rsidR="00A51B29" w:rsidRPr="00891A82" w:rsidRDefault="00A51B29" w:rsidP="00891A82">
      <w:pPr>
        <w:pStyle w:val="H1nocontents"/>
        <w:spacing w:after="0"/>
        <w:rPr>
          <w:rFonts w:ascii="Arial" w:hAnsi="Arial" w:cs="Arial"/>
          <w:b w:val="0"/>
          <w:bCs/>
          <w:color w:val="auto"/>
          <w:sz w:val="24"/>
          <w:szCs w:val="14"/>
        </w:rPr>
      </w:pPr>
    </w:p>
    <w:p w14:paraId="01198602" w14:textId="6B074E32" w:rsidR="00087D8B" w:rsidRPr="00891A82" w:rsidRDefault="003335CD" w:rsidP="00891A82">
      <w:pPr>
        <w:pStyle w:val="H1nocontents"/>
        <w:spacing w:after="0"/>
        <w:rPr>
          <w:rFonts w:ascii="Arial" w:hAnsi="Arial" w:cs="Arial"/>
          <w:b w:val="0"/>
          <w:bCs/>
          <w:color w:val="auto"/>
          <w:sz w:val="24"/>
          <w:szCs w:val="14"/>
        </w:rPr>
      </w:pPr>
      <w:r w:rsidRPr="00891A82">
        <w:rPr>
          <w:rFonts w:ascii="Arial" w:hAnsi="Arial" w:cs="Arial"/>
          <w:b w:val="0"/>
          <w:bCs/>
          <w:color w:val="auto"/>
          <w:sz w:val="24"/>
          <w:szCs w:val="14"/>
        </w:rPr>
        <w:t xml:space="preserve">Customer Liaison Team - </w:t>
      </w:r>
      <w:hyperlink r:id="rId25" w:history="1">
        <w:r w:rsidR="003F3C0E" w:rsidRPr="0033773C">
          <w:rPr>
            <w:rStyle w:val="Hyperlink"/>
            <w:rFonts w:ascii="Arial" w:hAnsi="Arial" w:cs="Arial"/>
            <w:b w:val="0"/>
            <w:bCs/>
            <w:sz w:val="24"/>
            <w:szCs w:val="14"/>
          </w:rPr>
          <w:t>box.operationalliaison@nationalgas.com</w:t>
        </w:r>
      </w:hyperlink>
      <w:r w:rsidR="003F3C0E">
        <w:rPr>
          <w:rFonts w:ascii="Arial" w:hAnsi="Arial" w:cs="Arial"/>
          <w:b w:val="0"/>
          <w:bCs/>
          <w:color w:val="auto"/>
          <w:sz w:val="24"/>
          <w:szCs w:val="14"/>
        </w:rPr>
        <w:t xml:space="preserve"> </w:t>
      </w:r>
    </w:p>
    <w:sectPr w:rsidR="00087D8B" w:rsidRPr="00891A82" w:rsidSect="00503D9C">
      <w:footerReference w:type="default" r:id="rId26"/>
      <w:pgSz w:w="11906" w:h="16838"/>
      <w:pgMar w:top="794" w:right="851" w:bottom="1418" w:left="851"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398AB" w14:textId="77777777" w:rsidR="0064276D" w:rsidRDefault="0064276D" w:rsidP="00DF0CF2">
      <w:pPr>
        <w:spacing w:line="240" w:lineRule="auto"/>
      </w:pPr>
      <w:r>
        <w:separator/>
      </w:r>
    </w:p>
  </w:endnote>
  <w:endnote w:type="continuationSeparator" w:id="0">
    <w:p w14:paraId="7C3FDAD1" w14:textId="77777777" w:rsidR="0064276D" w:rsidRDefault="0064276D" w:rsidP="00DF0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norite">
    <w:altName w:val="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8A684" w14:textId="77777777" w:rsidR="001C05AC" w:rsidRPr="001C05AC" w:rsidRDefault="001C05AC" w:rsidP="001C05AC">
    <w:pPr>
      <w:pStyle w:val="Footer"/>
    </w:pPr>
    <w:r w:rsidRPr="001C05AC">
      <w:rPr>
        <w:noProof/>
      </w:rPr>
      <w:drawing>
        <wp:inline distT="0" distB="0" distL="0" distR="0" wp14:anchorId="15F0F80D" wp14:editId="5868C7F0">
          <wp:extent cx="2451100" cy="665457"/>
          <wp:effectExtent l="0" t="0" r="6350" b="1905"/>
          <wp:docPr id="909319079" name="Graphic 7">
            <a:extLst xmlns:a="http://schemas.openxmlformats.org/drawingml/2006/main">
              <a:ext uri="{FF2B5EF4-FFF2-40B4-BE49-F238E27FC236}">
                <a16:creationId xmlns:a16="http://schemas.microsoft.com/office/drawing/2014/main" id="{61BD62C9-EF54-58CC-7EC5-230F74BC2C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61BD62C9-EF54-58CC-7EC5-230F74BC2C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83093" cy="6741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146E8" w14:textId="77777777" w:rsidR="0064276D" w:rsidRDefault="0064276D" w:rsidP="00DF0CF2">
      <w:pPr>
        <w:spacing w:line="240" w:lineRule="auto"/>
      </w:pPr>
      <w:r>
        <w:separator/>
      </w:r>
    </w:p>
  </w:footnote>
  <w:footnote w:type="continuationSeparator" w:id="0">
    <w:p w14:paraId="10CF4C28" w14:textId="77777777" w:rsidR="0064276D" w:rsidRDefault="0064276D" w:rsidP="00DF0C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50C3" w14:textId="194D5571" w:rsidR="00DF0CF2" w:rsidRDefault="00EB4021" w:rsidP="00BB7810">
    <w:pPr>
      <w:pStyle w:val="Header"/>
      <w:spacing w:after="2520"/>
    </w:pPr>
    <w:r w:rsidRPr="001C05AC">
      <w:rPr>
        <w:noProof/>
      </w:rPr>
      <w:drawing>
        <wp:anchor distT="0" distB="0" distL="114300" distR="114300" simplePos="0" relativeHeight="251666432" behindDoc="0" locked="1" layoutInCell="1" allowOverlap="1" wp14:anchorId="5D293950" wp14:editId="118888FC">
          <wp:simplePos x="0" y="0"/>
          <wp:positionH relativeFrom="page">
            <wp:posOffset>540385</wp:posOffset>
          </wp:positionH>
          <wp:positionV relativeFrom="page">
            <wp:posOffset>525780</wp:posOffset>
          </wp:positionV>
          <wp:extent cx="2415600" cy="655200"/>
          <wp:effectExtent l="0" t="0" r="3810" b="0"/>
          <wp:wrapNone/>
          <wp:docPr id="1975727936" name="Graphic 7">
            <a:extLst xmlns:a="http://schemas.openxmlformats.org/drawingml/2006/main">
              <a:ext uri="{FF2B5EF4-FFF2-40B4-BE49-F238E27FC236}">
                <a16:creationId xmlns:a16="http://schemas.microsoft.com/office/drawing/2014/main" id="{61BD62C9-EF54-58CC-7EC5-230F74BC2C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61BD62C9-EF54-58CC-7EC5-230F74BC2C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156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34E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582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5E8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7A25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4D1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62B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34C8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26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67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5639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464FD"/>
    <w:multiLevelType w:val="hybridMultilevel"/>
    <w:tmpl w:val="206C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64822"/>
    <w:multiLevelType w:val="hybridMultilevel"/>
    <w:tmpl w:val="22C8DC12"/>
    <w:lvl w:ilvl="0" w:tplc="6D72230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A51E43"/>
    <w:multiLevelType w:val="hybridMultilevel"/>
    <w:tmpl w:val="7B2CC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4576CB"/>
    <w:multiLevelType w:val="hybridMultilevel"/>
    <w:tmpl w:val="2AC2B504"/>
    <w:lvl w:ilvl="0" w:tplc="6D72230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7E0B87"/>
    <w:multiLevelType w:val="hybridMultilevel"/>
    <w:tmpl w:val="B8E6FD98"/>
    <w:lvl w:ilvl="0" w:tplc="6D7223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72088"/>
    <w:multiLevelType w:val="hybridMultilevel"/>
    <w:tmpl w:val="9BB8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A15B9"/>
    <w:multiLevelType w:val="hybridMultilevel"/>
    <w:tmpl w:val="2F52D66A"/>
    <w:lvl w:ilvl="0" w:tplc="4B124C48">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75C56"/>
    <w:multiLevelType w:val="hybridMultilevel"/>
    <w:tmpl w:val="5706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43159"/>
    <w:multiLevelType w:val="hybridMultilevel"/>
    <w:tmpl w:val="C068D42E"/>
    <w:lvl w:ilvl="0" w:tplc="AB880D08">
      <w:start w:val="1"/>
      <w:numFmt w:val="bullet"/>
      <w:pStyle w:val="BulletedTex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05B28"/>
    <w:multiLevelType w:val="hybridMultilevel"/>
    <w:tmpl w:val="8C041418"/>
    <w:lvl w:ilvl="0" w:tplc="A8B0F152">
      <w:start w:val="1"/>
      <w:numFmt w:val="lowerLetter"/>
      <w:pStyle w:val="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7607A3"/>
    <w:multiLevelType w:val="hybridMultilevel"/>
    <w:tmpl w:val="42AC4826"/>
    <w:lvl w:ilvl="0" w:tplc="6D72230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7442D"/>
    <w:multiLevelType w:val="hybridMultilevel"/>
    <w:tmpl w:val="B7E8F054"/>
    <w:lvl w:ilvl="0" w:tplc="6D7223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54E4C"/>
    <w:multiLevelType w:val="hybridMultilevel"/>
    <w:tmpl w:val="EFCA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64221"/>
    <w:multiLevelType w:val="hybridMultilevel"/>
    <w:tmpl w:val="35A45E0A"/>
    <w:lvl w:ilvl="0" w:tplc="6D7223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C092F"/>
    <w:multiLevelType w:val="hybridMultilevel"/>
    <w:tmpl w:val="0848F79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B454F"/>
    <w:multiLevelType w:val="hybridMultilevel"/>
    <w:tmpl w:val="5BFAF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871656"/>
    <w:multiLevelType w:val="hybridMultilevel"/>
    <w:tmpl w:val="A8EA8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728190485">
    <w:abstractNumId w:val="9"/>
  </w:num>
  <w:num w:numId="2" w16cid:durableId="1829902310">
    <w:abstractNumId w:val="7"/>
  </w:num>
  <w:num w:numId="3" w16cid:durableId="1661078712">
    <w:abstractNumId w:val="6"/>
  </w:num>
  <w:num w:numId="4" w16cid:durableId="2093697054">
    <w:abstractNumId w:val="5"/>
  </w:num>
  <w:num w:numId="5" w16cid:durableId="2049453695">
    <w:abstractNumId w:val="4"/>
  </w:num>
  <w:num w:numId="6" w16cid:durableId="374820540">
    <w:abstractNumId w:val="8"/>
  </w:num>
  <w:num w:numId="7" w16cid:durableId="127355976">
    <w:abstractNumId w:val="3"/>
  </w:num>
  <w:num w:numId="8" w16cid:durableId="1516651108">
    <w:abstractNumId w:val="2"/>
  </w:num>
  <w:num w:numId="9" w16cid:durableId="864631205">
    <w:abstractNumId w:val="1"/>
  </w:num>
  <w:num w:numId="10" w16cid:durableId="884213877">
    <w:abstractNumId w:val="0"/>
  </w:num>
  <w:num w:numId="11" w16cid:durableId="1149860420">
    <w:abstractNumId w:val="19"/>
  </w:num>
  <w:num w:numId="12" w16cid:durableId="1542086523">
    <w:abstractNumId w:val="16"/>
  </w:num>
  <w:num w:numId="13" w16cid:durableId="956184991">
    <w:abstractNumId w:val="18"/>
  </w:num>
  <w:num w:numId="14" w16cid:durableId="1638031694">
    <w:abstractNumId w:val="24"/>
  </w:num>
  <w:num w:numId="15" w16cid:durableId="1759864270">
    <w:abstractNumId w:val="12"/>
  </w:num>
  <w:num w:numId="16" w16cid:durableId="1796488758">
    <w:abstractNumId w:val="15"/>
  </w:num>
  <w:num w:numId="17" w16cid:durableId="188036293">
    <w:abstractNumId w:val="26"/>
  </w:num>
  <w:num w:numId="18" w16cid:durableId="1867016389">
    <w:abstractNumId w:val="25"/>
  </w:num>
  <w:num w:numId="19" w16cid:durableId="1034573819">
    <w:abstractNumId w:val="10"/>
  </w:num>
  <w:num w:numId="20" w16cid:durableId="930701222">
    <w:abstractNumId w:val="22"/>
  </w:num>
  <w:num w:numId="21" w16cid:durableId="523715759">
    <w:abstractNumId w:val="17"/>
  </w:num>
  <w:num w:numId="22" w16cid:durableId="1139419816">
    <w:abstractNumId w:val="23"/>
  </w:num>
  <w:num w:numId="23" w16cid:durableId="1056852156">
    <w:abstractNumId w:val="11"/>
  </w:num>
  <w:num w:numId="24" w16cid:durableId="782263153">
    <w:abstractNumId w:val="13"/>
  </w:num>
  <w:num w:numId="25" w16cid:durableId="151869400">
    <w:abstractNumId w:val="20"/>
  </w:num>
  <w:num w:numId="26" w16cid:durableId="213665885">
    <w:abstractNumId w:val="21"/>
  </w:num>
  <w:num w:numId="27" w16cid:durableId="1563563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60"/>
    <w:rsid w:val="00010CA7"/>
    <w:rsid w:val="000230F9"/>
    <w:rsid w:val="00030D2F"/>
    <w:rsid w:val="000602C6"/>
    <w:rsid w:val="00061215"/>
    <w:rsid w:val="00067BE4"/>
    <w:rsid w:val="000711A5"/>
    <w:rsid w:val="00087D8B"/>
    <w:rsid w:val="00090713"/>
    <w:rsid w:val="000A6C60"/>
    <w:rsid w:val="000C057F"/>
    <w:rsid w:val="000D2E3D"/>
    <w:rsid w:val="000D7D8F"/>
    <w:rsid w:val="001163A1"/>
    <w:rsid w:val="001316E7"/>
    <w:rsid w:val="00147009"/>
    <w:rsid w:val="001645B2"/>
    <w:rsid w:val="00167659"/>
    <w:rsid w:val="001B0D79"/>
    <w:rsid w:val="001C05AC"/>
    <w:rsid w:val="001C6554"/>
    <w:rsid w:val="001E7122"/>
    <w:rsid w:val="002018AD"/>
    <w:rsid w:val="00206285"/>
    <w:rsid w:val="0020648A"/>
    <w:rsid w:val="00215F72"/>
    <w:rsid w:val="00216460"/>
    <w:rsid w:val="002208DC"/>
    <w:rsid w:val="0024413E"/>
    <w:rsid w:val="002465DC"/>
    <w:rsid w:val="00251534"/>
    <w:rsid w:val="002C5272"/>
    <w:rsid w:val="003335CD"/>
    <w:rsid w:val="00345E20"/>
    <w:rsid w:val="003617C6"/>
    <w:rsid w:val="00362A7E"/>
    <w:rsid w:val="00367911"/>
    <w:rsid w:val="00370F34"/>
    <w:rsid w:val="003A7520"/>
    <w:rsid w:val="003C329E"/>
    <w:rsid w:val="003F3C0E"/>
    <w:rsid w:val="003F663A"/>
    <w:rsid w:val="0046497E"/>
    <w:rsid w:val="0047096B"/>
    <w:rsid w:val="00473518"/>
    <w:rsid w:val="004833AF"/>
    <w:rsid w:val="004843FD"/>
    <w:rsid w:val="00492897"/>
    <w:rsid w:val="004D2AE3"/>
    <w:rsid w:val="004F2F6A"/>
    <w:rsid w:val="004F559C"/>
    <w:rsid w:val="00502DEA"/>
    <w:rsid w:val="00503D9C"/>
    <w:rsid w:val="00503F7B"/>
    <w:rsid w:val="00504049"/>
    <w:rsid w:val="00520D33"/>
    <w:rsid w:val="005561EA"/>
    <w:rsid w:val="00593117"/>
    <w:rsid w:val="005A6735"/>
    <w:rsid w:val="005B0351"/>
    <w:rsid w:val="005B1C61"/>
    <w:rsid w:val="005B494C"/>
    <w:rsid w:val="005B77BE"/>
    <w:rsid w:val="005C6E7B"/>
    <w:rsid w:val="005D7E19"/>
    <w:rsid w:val="0064276D"/>
    <w:rsid w:val="00674924"/>
    <w:rsid w:val="0068452A"/>
    <w:rsid w:val="006A4688"/>
    <w:rsid w:val="006C6DFC"/>
    <w:rsid w:val="00700861"/>
    <w:rsid w:val="0074353C"/>
    <w:rsid w:val="00753400"/>
    <w:rsid w:val="0076119B"/>
    <w:rsid w:val="007A51B3"/>
    <w:rsid w:val="007B699D"/>
    <w:rsid w:val="007D14E4"/>
    <w:rsid w:val="007E2EA6"/>
    <w:rsid w:val="007E7681"/>
    <w:rsid w:val="007F0B65"/>
    <w:rsid w:val="00805CCD"/>
    <w:rsid w:val="00864B5E"/>
    <w:rsid w:val="00872CBB"/>
    <w:rsid w:val="00874B4A"/>
    <w:rsid w:val="008839DF"/>
    <w:rsid w:val="00891A82"/>
    <w:rsid w:val="008B23A2"/>
    <w:rsid w:val="008B6D3E"/>
    <w:rsid w:val="008D70C2"/>
    <w:rsid w:val="008F5174"/>
    <w:rsid w:val="008F6159"/>
    <w:rsid w:val="009370DA"/>
    <w:rsid w:val="0097470A"/>
    <w:rsid w:val="009B6F5F"/>
    <w:rsid w:val="009C7BDF"/>
    <w:rsid w:val="009D0772"/>
    <w:rsid w:val="009E1AFA"/>
    <w:rsid w:val="009E7E17"/>
    <w:rsid w:val="00A10A72"/>
    <w:rsid w:val="00A12DCF"/>
    <w:rsid w:val="00A135A8"/>
    <w:rsid w:val="00A14091"/>
    <w:rsid w:val="00A17201"/>
    <w:rsid w:val="00A51B29"/>
    <w:rsid w:val="00A541B9"/>
    <w:rsid w:val="00A66771"/>
    <w:rsid w:val="00A848FD"/>
    <w:rsid w:val="00AA728C"/>
    <w:rsid w:val="00AB5D54"/>
    <w:rsid w:val="00AD2C3F"/>
    <w:rsid w:val="00AD6350"/>
    <w:rsid w:val="00AD686B"/>
    <w:rsid w:val="00AE4721"/>
    <w:rsid w:val="00B048D6"/>
    <w:rsid w:val="00B075A6"/>
    <w:rsid w:val="00B45C92"/>
    <w:rsid w:val="00B53441"/>
    <w:rsid w:val="00B5383E"/>
    <w:rsid w:val="00B735B7"/>
    <w:rsid w:val="00B77FBF"/>
    <w:rsid w:val="00B819BE"/>
    <w:rsid w:val="00B93D8E"/>
    <w:rsid w:val="00BB7810"/>
    <w:rsid w:val="00BD3EDB"/>
    <w:rsid w:val="00BD5F26"/>
    <w:rsid w:val="00BE3F2D"/>
    <w:rsid w:val="00C50FB5"/>
    <w:rsid w:val="00C84DDD"/>
    <w:rsid w:val="00C90848"/>
    <w:rsid w:val="00C93F2E"/>
    <w:rsid w:val="00C9787C"/>
    <w:rsid w:val="00CA21ED"/>
    <w:rsid w:val="00CB0BD6"/>
    <w:rsid w:val="00D10F4A"/>
    <w:rsid w:val="00D406AC"/>
    <w:rsid w:val="00D41476"/>
    <w:rsid w:val="00D60DBA"/>
    <w:rsid w:val="00D84100"/>
    <w:rsid w:val="00DB22E2"/>
    <w:rsid w:val="00DD63D9"/>
    <w:rsid w:val="00DF0CF2"/>
    <w:rsid w:val="00E52B4C"/>
    <w:rsid w:val="00E91EA3"/>
    <w:rsid w:val="00EB4021"/>
    <w:rsid w:val="00EC5554"/>
    <w:rsid w:val="00F0332B"/>
    <w:rsid w:val="00F11BD1"/>
    <w:rsid w:val="00F253C5"/>
    <w:rsid w:val="00F33B89"/>
    <w:rsid w:val="00F34FE7"/>
    <w:rsid w:val="00F505AD"/>
    <w:rsid w:val="00F53B47"/>
    <w:rsid w:val="00F66BC5"/>
    <w:rsid w:val="00F74D18"/>
    <w:rsid w:val="00F80941"/>
    <w:rsid w:val="00FC4802"/>
    <w:rsid w:val="00FD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9EBB"/>
  <w15:chartTrackingRefBased/>
  <w15:docId w15:val="{AEB5B9A5-077F-4155-BAAC-21B5E65E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2E"/>
    <w:pPr>
      <w:spacing w:after="0"/>
    </w:pPr>
    <w:rPr>
      <w:color w:val="333333" w:themeColor="text2"/>
      <w:sz w:val="24"/>
    </w:rPr>
  </w:style>
  <w:style w:type="paragraph" w:styleId="Heading1">
    <w:name w:val="heading 1"/>
    <w:basedOn w:val="Normal"/>
    <w:next w:val="Normal"/>
    <w:link w:val="Heading1Char"/>
    <w:uiPriority w:val="9"/>
    <w:qFormat/>
    <w:rsid w:val="0046497E"/>
    <w:pPr>
      <w:keepNext/>
      <w:keepLines/>
      <w:spacing w:after="320"/>
      <w:outlineLvl w:val="0"/>
    </w:pPr>
    <w:rPr>
      <w:rFonts w:asciiTheme="majorHAnsi" w:eastAsiaTheme="majorEastAsia" w:hAnsiTheme="majorHAnsi" w:cstheme="majorBidi"/>
      <w:b/>
      <w:color w:val="00B2A1" w:themeColor="accent6"/>
      <w:sz w:val="40"/>
      <w:szCs w:val="32"/>
    </w:rPr>
  </w:style>
  <w:style w:type="paragraph" w:styleId="Heading2">
    <w:name w:val="heading 2"/>
    <w:basedOn w:val="Normal"/>
    <w:next w:val="Normal"/>
    <w:link w:val="Heading2Char"/>
    <w:uiPriority w:val="9"/>
    <w:unhideWhenUsed/>
    <w:qFormat/>
    <w:rsid w:val="00C93F2E"/>
    <w:pPr>
      <w:keepNext/>
      <w:keepLines/>
      <w:spacing w:after="12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0711A5"/>
    <w:pPr>
      <w:keepNext/>
      <w:keepLines/>
      <w:spacing w:after="12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CF2"/>
    <w:pPr>
      <w:tabs>
        <w:tab w:val="center" w:pos="4513"/>
        <w:tab w:val="right" w:pos="9026"/>
      </w:tabs>
      <w:spacing w:line="240" w:lineRule="auto"/>
    </w:pPr>
  </w:style>
  <w:style w:type="character" w:customStyle="1" w:styleId="HeaderChar">
    <w:name w:val="Header Char"/>
    <w:basedOn w:val="DefaultParagraphFont"/>
    <w:link w:val="Header"/>
    <w:uiPriority w:val="99"/>
    <w:rsid w:val="00DF0CF2"/>
    <w:rPr>
      <w:sz w:val="24"/>
    </w:rPr>
  </w:style>
  <w:style w:type="paragraph" w:styleId="Footer">
    <w:name w:val="footer"/>
    <w:basedOn w:val="Normal"/>
    <w:link w:val="FooterChar"/>
    <w:uiPriority w:val="99"/>
    <w:unhideWhenUsed/>
    <w:rsid w:val="001B0D79"/>
    <w:pPr>
      <w:tabs>
        <w:tab w:val="center" w:pos="4513"/>
        <w:tab w:val="right" w:pos="9026"/>
      </w:tabs>
      <w:spacing w:line="240" w:lineRule="auto"/>
    </w:pPr>
  </w:style>
  <w:style w:type="character" w:customStyle="1" w:styleId="FooterChar">
    <w:name w:val="Footer Char"/>
    <w:basedOn w:val="DefaultParagraphFont"/>
    <w:link w:val="Footer"/>
    <w:uiPriority w:val="99"/>
    <w:rsid w:val="001B0D79"/>
    <w:rPr>
      <w:color w:val="333333" w:themeColor="text2"/>
      <w:sz w:val="24"/>
    </w:rPr>
  </w:style>
  <w:style w:type="character" w:customStyle="1" w:styleId="Heading1Char">
    <w:name w:val="Heading 1 Char"/>
    <w:basedOn w:val="DefaultParagraphFont"/>
    <w:link w:val="Heading1"/>
    <w:uiPriority w:val="9"/>
    <w:rsid w:val="0046497E"/>
    <w:rPr>
      <w:rFonts w:asciiTheme="majorHAnsi" w:eastAsiaTheme="majorEastAsia" w:hAnsiTheme="majorHAnsi" w:cstheme="majorBidi"/>
      <w:b/>
      <w:color w:val="00B2A1" w:themeColor="accent6"/>
      <w:sz w:val="40"/>
      <w:szCs w:val="32"/>
    </w:rPr>
  </w:style>
  <w:style w:type="character" w:customStyle="1" w:styleId="Heading2Char">
    <w:name w:val="Heading 2 Char"/>
    <w:basedOn w:val="DefaultParagraphFont"/>
    <w:link w:val="Heading2"/>
    <w:uiPriority w:val="9"/>
    <w:rsid w:val="00C93F2E"/>
    <w:rPr>
      <w:rFonts w:asciiTheme="majorHAnsi" w:eastAsiaTheme="majorEastAsia" w:hAnsiTheme="majorHAnsi" w:cstheme="majorBidi"/>
      <w:b/>
      <w:color w:val="333333" w:themeColor="text2"/>
      <w:sz w:val="32"/>
      <w:szCs w:val="26"/>
    </w:rPr>
  </w:style>
  <w:style w:type="character" w:customStyle="1" w:styleId="Heading3Char">
    <w:name w:val="Heading 3 Char"/>
    <w:basedOn w:val="DefaultParagraphFont"/>
    <w:link w:val="Heading3"/>
    <w:uiPriority w:val="9"/>
    <w:rsid w:val="000711A5"/>
    <w:rPr>
      <w:rFonts w:asciiTheme="majorHAnsi" w:eastAsiaTheme="majorEastAsia" w:hAnsiTheme="majorHAnsi" w:cstheme="majorBidi"/>
      <w:b/>
      <w:color w:val="333333" w:themeColor="text2"/>
      <w:sz w:val="24"/>
      <w:szCs w:val="24"/>
    </w:rPr>
  </w:style>
  <w:style w:type="paragraph" w:customStyle="1" w:styleId="IntroParagraph">
    <w:name w:val="Intro Paragraph"/>
    <w:basedOn w:val="Normal"/>
    <w:qFormat/>
    <w:rsid w:val="00AD6350"/>
    <w:pPr>
      <w:spacing w:line="228" w:lineRule="auto"/>
    </w:pPr>
    <w:rPr>
      <w:sz w:val="32"/>
    </w:rPr>
  </w:style>
  <w:style w:type="paragraph" w:customStyle="1" w:styleId="ReportTitle">
    <w:name w:val="Report Title"/>
    <w:basedOn w:val="Normal"/>
    <w:qFormat/>
    <w:rsid w:val="00EB4021"/>
    <w:pPr>
      <w:spacing w:line="216" w:lineRule="auto"/>
      <w:ind w:right="3289"/>
    </w:pPr>
    <w:rPr>
      <w:b/>
      <w:color w:val="00B2A1" w:themeColor="accent6"/>
      <w:sz w:val="80"/>
    </w:rPr>
  </w:style>
  <w:style w:type="paragraph" w:customStyle="1" w:styleId="ReportSubtitle">
    <w:name w:val="Report Subtitle"/>
    <w:basedOn w:val="Normal"/>
    <w:qFormat/>
    <w:rsid w:val="00EB4021"/>
    <w:pPr>
      <w:ind w:right="2835"/>
    </w:pPr>
    <w:rPr>
      <w:b/>
      <w:sz w:val="40"/>
    </w:rPr>
  </w:style>
  <w:style w:type="table" w:styleId="TableGrid">
    <w:name w:val="Table Grid"/>
    <w:basedOn w:val="TableNormal"/>
    <w:uiPriority w:val="39"/>
    <w:rsid w:val="00BB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IssueNo">
    <w:name w:val="Cover Issue No."/>
    <w:basedOn w:val="Normal"/>
    <w:qFormat/>
    <w:rsid w:val="00EB4021"/>
    <w:pPr>
      <w:framePr w:hSpace="181" w:wrap="around" w:vAnchor="page" w:hAnchor="text" w:y="13609"/>
      <w:spacing w:line="240" w:lineRule="auto"/>
      <w:suppressOverlap/>
    </w:pPr>
    <w:rPr>
      <w:b/>
      <w:sz w:val="32"/>
    </w:rPr>
  </w:style>
  <w:style w:type="paragraph" w:customStyle="1" w:styleId="CoverVersion">
    <w:name w:val="Cover Version"/>
    <w:basedOn w:val="Normal"/>
    <w:qFormat/>
    <w:rsid w:val="00EB4021"/>
    <w:pPr>
      <w:framePr w:hSpace="181" w:wrap="around" w:vAnchor="page" w:hAnchor="text" w:y="13609"/>
      <w:spacing w:line="240" w:lineRule="auto"/>
      <w:suppressOverlap/>
    </w:pPr>
    <w:rPr>
      <w:b/>
      <w:sz w:val="32"/>
    </w:rPr>
  </w:style>
  <w:style w:type="paragraph" w:customStyle="1" w:styleId="FooterRule">
    <w:name w:val="Footer Rule"/>
    <w:basedOn w:val="Normal"/>
    <w:qFormat/>
    <w:rsid w:val="001B0D79"/>
    <w:pPr>
      <w:pBdr>
        <w:top w:val="single" w:sz="8" w:space="1" w:color="00B2A1" w:themeColor="accent6"/>
      </w:pBdr>
    </w:pPr>
    <w:rPr>
      <w:sz w:val="8"/>
    </w:rPr>
  </w:style>
  <w:style w:type="paragraph" w:customStyle="1" w:styleId="CoverDate">
    <w:name w:val="Cover Date"/>
    <w:basedOn w:val="Normal"/>
    <w:qFormat/>
    <w:rsid w:val="00EB4021"/>
    <w:rPr>
      <w:b/>
      <w:sz w:val="32"/>
    </w:rPr>
  </w:style>
  <w:style w:type="paragraph" w:customStyle="1" w:styleId="H1nocontents">
    <w:name w:val="H1 (no contents)"/>
    <w:basedOn w:val="Normal"/>
    <w:qFormat/>
    <w:rsid w:val="009B6F5F"/>
    <w:pPr>
      <w:spacing w:after="300"/>
    </w:pPr>
    <w:rPr>
      <w:b/>
      <w:color w:val="00B2A1" w:themeColor="accent6"/>
      <w:sz w:val="40"/>
    </w:rPr>
  </w:style>
  <w:style w:type="paragraph" w:styleId="BodyText">
    <w:name w:val="Body Text"/>
    <w:basedOn w:val="Normal"/>
    <w:link w:val="BodyTextChar"/>
    <w:uiPriority w:val="99"/>
    <w:unhideWhenUsed/>
    <w:rsid w:val="00C93F2E"/>
    <w:pPr>
      <w:spacing w:after="120"/>
    </w:pPr>
  </w:style>
  <w:style w:type="character" w:customStyle="1" w:styleId="BodyTextChar">
    <w:name w:val="Body Text Char"/>
    <w:basedOn w:val="DefaultParagraphFont"/>
    <w:link w:val="BodyText"/>
    <w:uiPriority w:val="99"/>
    <w:rsid w:val="00C93F2E"/>
    <w:rPr>
      <w:color w:val="333333" w:themeColor="text2"/>
      <w:sz w:val="24"/>
    </w:rPr>
  </w:style>
  <w:style w:type="paragraph" w:customStyle="1" w:styleId="bclist">
    <w:name w:val="b) c) list"/>
    <w:basedOn w:val="Normal"/>
    <w:qFormat/>
    <w:rsid w:val="00C93F2E"/>
    <w:pPr>
      <w:numPr>
        <w:numId w:val="11"/>
      </w:numPr>
      <w:spacing w:after="120"/>
      <w:ind w:left="851" w:hanging="284"/>
    </w:pPr>
  </w:style>
  <w:style w:type="paragraph" w:customStyle="1" w:styleId="Numberedtext">
    <w:name w:val="Numbered text"/>
    <w:basedOn w:val="Normal"/>
    <w:qFormat/>
    <w:rsid w:val="00061215"/>
    <w:pPr>
      <w:numPr>
        <w:numId w:val="12"/>
      </w:numPr>
      <w:spacing w:after="120"/>
      <w:ind w:left="284" w:hanging="284"/>
    </w:pPr>
  </w:style>
  <w:style w:type="paragraph" w:customStyle="1" w:styleId="BulletedText">
    <w:name w:val="Bulleted Text"/>
    <w:basedOn w:val="Normal"/>
    <w:qFormat/>
    <w:rsid w:val="00061215"/>
    <w:pPr>
      <w:numPr>
        <w:numId w:val="13"/>
      </w:numPr>
      <w:spacing w:after="120"/>
      <w:ind w:left="851" w:hanging="284"/>
    </w:pPr>
  </w:style>
  <w:style w:type="paragraph" w:styleId="FootnoteText">
    <w:name w:val="footnote text"/>
    <w:basedOn w:val="Normal"/>
    <w:link w:val="FootnoteTextChar"/>
    <w:uiPriority w:val="99"/>
    <w:semiHidden/>
    <w:unhideWhenUsed/>
    <w:rsid w:val="00B735B7"/>
    <w:pPr>
      <w:spacing w:line="240" w:lineRule="auto"/>
    </w:pPr>
    <w:rPr>
      <w:sz w:val="20"/>
      <w:szCs w:val="20"/>
    </w:rPr>
  </w:style>
  <w:style w:type="character" w:customStyle="1" w:styleId="FootnoteTextChar">
    <w:name w:val="Footnote Text Char"/>
    <w:basedOn w:val="DefaultParagraphFont"/>
    <w:link w:val="FootnoteText"/>
    <w:uiPriority w:val="99"/>
    <w:semiHidden/>
    <w:rsid w:val="00B735B7"/>
    <w:rPr>
      <w:color w:val="333333" w:themeColor="text2"/>
      <w:sz w:val="20"/>
      <w:szCs w:val="20"/>
    </w:rPr>
  </w:style>
  <w:style w:type="character" w:styleId="FootnoteReference">
    <w:name w:val="footnote reference"/>
    <w:basedOn w:val="DefaultParagraphFont"/>
    <w:uiPriority w:val="99"/>
    <w:semiHidden/>
    <w:unhideWhenUsed/>
    <w:rsid w:val="00B735B7"/>
    <w:rPr>
      <w:vertAlign w:val="superscript"/>
    </w:rPr>
  </w:style>
  <w:style w:type="paragraph" w:customStyle="1" w:styleId="ChartTitle">
    <w:name w:val="Chart Title"/>
    <w:basedOn w:val="Normal"/>
    <w:qFormat/>
    <w:rsid w:val="00B735B7"/>
    <w:rPr>
      <w:b/>
      <w:color w:val="00B2A1" w:themeColor="accent6"/>
      <w:sz w:val="32"/>
    </w:rPr>
  </w:style>
  <w:style w:type="paragraph" w:styleId="TOC1">
    <w:name w:val="toc 1"/>
    <w:basedOn w:val="Normal"/>
    <w:next w:val="Normal"/>
    <w:autoRedefine/>
    <w:uiPriority w:val="39"/>
    <w:unhideWhenUsed/>
    <w:rsid w:val="00503F7B"/>
    <w:pPr>
      <w:pBdr>
        <w:top w:val="single" w:sz="4" w:space="1" w:color="auto"/>
      </w:pBdr>
      <w:spacing w:before="180" w:after="100"/>
    </w:pPr>
    <w:rPr>
      <w:b/>
      <w:sz w:val="28"/>
    </w:rPr>
  </w:style>
  <w:style w:type="paragraph" w:styleId="TOC2">
    <w:name w:val="toc 2"/>
    <w:basedOn w:val="Normal"/>
    <w:next w:val="Normal"/>
    <w:autoRedefine/>
    <w:uiPriority w:val="39"/>
    <w:unhideWhenUsed/>
    <w:rsid w:val="00503F7B"/>
    <w:pPr>
      <w:spacing w:after="100"/>
      <w:ind w:left="240"/>
    </w:pPr>
  </w:style>
  <w:style w:type="paragraph" w:styleId="TOC3">
    <w:name w:val="toc 3"/>
    <w:basedOn w:val="Normal"/>
    <w:next w:val="Normal"/>
    <w:autoRedefine/>
    <w:uiPriority w:val="39"/>
    <w:unhideWhenUsed/>
    <w:rsid w:val="00503F7B"/>
    <w:pPr>
      <w:spacing w:after="100"/>
      <w:ind w:left="480"/>
    </w:pPr>
  </w:style>
  <w:style w:type="character" w:styleId="Hyperlink">
    <w:name w:val="Hyperlink"/>
    <w:basedOn w:val="DefaultParagraphFont"/>
    <w:uiPriority w:val="99"/>
    <w:unhideWhenUsed/>
    <w:rsid w:val="00503F7B"/>
    <w:rPr>
      <w:color w:val="0563C1" w:themeColor="hyperlink"/>
      <w:u w:val="single"/>
    </w:rPr>
  </w:style>
  <w:style w:type="paragraph" w:customStyle="1" w:styleId="Horizontalline">
    <w:name w:val="Horizontal line"/>
    <w:basedOn w:val="Normal"/>
    <w:qFormat/>
    <w:rsid w:val="00503F7B"/>
    <w:pPr>
      <w:pBdr>
        <w:top w:val="single" w:sz="4" w:space="1" w:color="333333" w:themeColor="text2"/>
      </w:pBdr>
    </w:pPr>
  </w:style>
  <w:style w:type="character" w:styleId="FollowedHyperlink">
    <w:name w:val="FollowedHyperlink"/>
    <w:basedOn w:val="DefaultParagraphFont"/>
    <w:uiPriority w:val="99"/>
    <w:semiHidden/>
    <w:unhideWhenUsed/>
    <w:rsid w:val="005D7E19"/>
    <w:rPr>
      <w:color w:val="954F72" w:themeColor="followedHyperlink"/>
      <w:u w:val="single"/>
    </w:rPr>
  </w:style>
  <w:style w:type="paragraph" w:styleId="ListParagraph">
    <w:name w:val="List Paragraph"/>
    <w:basedOn w:val="Normal"/>
    <w:uiPriority w:val="34"/>
    <w:qFormat/>
    <w:rsid w:val="005D7E19"/>
    <w:pPr>
      <w:spacing w:after="200" w:line="276" w:lineRule="auto"/>
      <w:ind w:left="720"/>
      <w:contextualSpacing/>
    </w:pPr>
    <w:rPr>
      <w:color w:val="auto"/>
      <w:sz w:val="22"/>
    </w:rPr>
  </w:style>
  <w:style w:type="paragraph" w:styleId="CommentText">
    <w:name w:val="annotation text"/>
    <w:basedOn w:val="Normal"/>
    <w:link w:val="CommentTextChar"/>
    <w:uiPriority w:val="99"/>
    <w:semiHidden/>
    <w:unhideWhenUsed/>
    <w:rsid w:val="005D7E19"/>
    <w:pPr>
      <w:spacing w:line="240" w:lineRule="auto"/>
    </w:pPr>
    <w:rPr>
      <w:sz w:val="20"/>
      <w:szCs w:val="20"/>
    </w:rPr>
  </w:style>
  <w:style w:type="character" w:customStyle="1" w:styleId="CommentTextChar">
    <w:name w:val="Comment Text Char"/>
    <w:basedOn w:val="DefaultParagraphFont"/>
    <w:link w:val="CommentText"/>
    <w:uiPriority w:val="99"/>
    <w:semiHidden/>
    <w:rsid w:val="005D7E19"/>
    <w:rPr>
      <w:color w:val="333333" w:themeColor="text2"/>
      <w:sz w:val="20"/>
      <w:szCs w:val="20"/>
    </w:rPr>
  </w:style>
  <w:style w:type="paragraph" w:styleId="CommentSubject">
    <w:name w:val="annotation subject"/>
    <w:basedOn w:val="CommentText"/>
    <w:next w:val="CommentText"/>
    <w:link w:val="CommentSubjectChar"/>
    <w:uiPriority w:val="99"/>
    <w:semiHidden/>
    <w:unhideWhenUsed/>
    <w:rsid w:val="005D7E19"/>
    <w:pPr>
      <w:spacing w:after="200"/>
    </w:pPr>
    <w:rPr>
      <w:b/>
      <w:bCs/>
      <w:color w:val="auto"/>
    </w:rPr>
  </w:style>
  <w:style w:type="character" w:customStyle="1" w:styleId="CommentSubjectChar">
    <w:name w:val="Comment Subject Char"/>
    <w:basedOn w:val="CommentTextChar"/>
    <w:link w:val="CommentSubject"/>
    <w:uiPriority w:val="99"/>
    <w:semiHidden/>
    <w:rsid w:val="005D7E19"/>
    <w:rPr>
      <w:b/>
      <w:bCs/>
      <w:color w:val="333333" w:themeColor="text2"/>
      <w:sz w:val="20"/>
      <w:szCs w:val="20"/>
    </w:rPr>
  </w:style>
  <w:style w:type="paragraph" w:customStyle="1" w:styleId="Default">
    <w:name w:val="Default"/>
    <w:rsid w:val="005D7E1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ui-provider">
    <w:name w:val="ui-provider"/>
    <w:basedOn w:val="DefaultParagraphFont"/>
    <w:rsid w:val="005D7E19"/>
  </w:style>
  <w:style w:type="paragraph" w:customStyle="1" w:styleId="paragraph">
    <w:name w:val="paragraph"/>
    <w:basedOn w:val="Normal"/>
    <w:rsid w:val="00A12DCF"/>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eop">
    <w:name w:val="eop"/>
    <w:basedOn w:val="DefaultParagraphFont"/>
    <w:rsid w:val="00A12DCF"/>
  </w:style>
  <w:style w:type="character" w:styleId="UnresolvedMention">
    <w:name w:val="Unresolved Mention"/>
    <w:basedOn w:val="DefaultParagraphFont"/>
    <w:uiPriority w:val="99"/>
    <w:semiHidden/>
    <w:unhideWhenUsed/>
    <w:rsid w:val="00C84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266852">
      <w:bodyDiv w:val="1"/>
      <w:marLeft w:val="0"/>
      <w:marRight w:val="0"/>
      <w:marTop w:val="0"/>
      <w:marBottom w:val="0"/>
      <w:divBdr>
        <w:top w:val="none" w:sz="0" w:space="0" w:color="auto"/>
        <w:left w:val="none" w:sz="0" w:space="0" w:color="auto"/>
        <w:bottom w:val="none" w:sz="0" w:space="0" w:color="auto"/>
        <w:right w:val="none" w:sz="0" w:space="0" w:color="auto"/>
      </w:divBdr>
      <w:divsChild>
        <w:div w:id="76177212">
          <w:marLeft w:val="0"/>
          <w:marRight w:val="0"/>
          <w:marTop w:val="0"/>
          <w:marBottom w:val="0"/>
          <w:divBdr>
            <w:top w:val="none" w:sz="0" w:space="0" w:color="auto"/>
            <w:left w:val="none" w:sz="0" w:space="0" w:color="auto"/>
            <w:bottom w:val="none" w:sz="0" w:space="0" w:color="auto"/>
            <w:right w:val="none" w:sz="0" w:space="0" w:color="auto"/>
          </w:divBdr>
        </w:div>
        <w:div w:id="568005497">
          <w:marLeft w:val="0"/>
          <w:marRight w:val="0"/>
          <w:marTop w:val="0"/>
          <w:marBottom w:val="0"/>
          <w:divBdr>
            <w:top w:val="none" w:sz="0" w:space="0" w:color="auto"/>
            <w:left w:val="none" w:sz="0" w:space="0" w:color="auto"/>
            <w:bottom w:val="none" w:sz="0" w:space="0" w:color="auto"/>
            <w:right w:val="none" w:sz="0" w:space="0" w:color="auto"/>
          </w:divBdr>
        </w:div>
      </w:divsChild>
    </w:div>
    <w:div w:id="1317606164">
      <w:bodyDiv w:val="1"/>
      <w:marLeft w:val="0"/>
      <w:marRight w:val="0"/>
      <w:marTop w:val="0"/>
      <w:marBottom w:val="0"/>
      <w:divBdr>
        <w:top w:val="none" w:sz="0" w:space="0" w:color="auto"/>
        <w:left w:val="none" w:sz="0" w:space="0" w:color="auto"/>
        <w:bottom w:val="none" w:sz="0" w:space="0" w:color="auto"/>
        <w:right w:val="none" w:sz="0" w:space="0" w:color="auto"/>
      </w:divBdr>
      <w:divsChild>
        <w:div w:id="1101295103">
          <w:marLeft w:val="0"/>
          <w:marRight w:val="0"/>
          <w:marTop w:val="0"/>
          <w:marBottom w:val="0"/>
          <w:divBdr>
            <w:top w:val="none" w:sz="0" w:space="0" w:color="auto"/>
            <w:left w:val="none" w:sz="0" w:space="0" w:color="auto"/>
            <w:bottom w:val="none" w:sz="0" w:space="0" w:color="auto"/>
            <w:right w:val="none" w:sz="0" w:space="0" w:color="auto"/>
          </w:divBdr>
        </w:div>
        <w:div w:id="183896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svg"/><Relationship Id="rId18" Type="http://schemas.openxmlformats.org/officeDocument/2006/relationships/hyperlink" Target="https://www.nationalgas.com/our-businesses/margins-notice-gas-balancing-notific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ationalgas.com/our-businesses/margins-notice-gas-balancing-notification"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mailto:box.operationalliaison@nationalgas.com" TargetMode="External"/><Relationship Id="rId2" Type="http://schemas.openxmlformats.org/officeDocument/2006/relationships/customXml" Target="../customXml/item2.xml"/><Relationship Id="rId16" Type="http://schemas.openxmlformats.org/officeDocument/2006/relationships/hyperlink" Target="https://www.nationalgas.com/our-businesses/operational-data/our-data" TargetMode="External"/><Relationship Id="rId20" Type="http://schemas.openxmlformats.org/officeDocument/2006/relationships/hyperlink" Target="https://www.nationalgas.com/our-businesses/margins-notice-gas-balancing-no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Box.UniqueSites@nationalgas.com" TargetMode="External"/><Relationship Id="rId5" Type="http://schemas.openxmlformats.org/officeDocument/2006/relationships/numbering" Target="numbering.xml"/><Relationship Id="rId15" Type="http://schemas.openxmlformats.org/officeDocument/2006/relationships/hyperlink" Target="https://data.nationalgas.com/gas-system-status" TargetMode="External"/><Relationship Id="rId23" Type="http://schemas.openxmlformats.org/officeDocument/2006/relationships/hyperlink" Target="mailto:box.energybalancing@nationalga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gas.com/emergency-response" TargetMode="External"/><Relationship Id="rId22" Type="http://schemas.openxmlformats.org/officeDocument/2006/relationships/hyperlink" Target="https://data.nationalga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gillan\Desktop\I%20HAVE%20A%20QUERY%20DOC%20UPDATED.dotx" TargetMode="External"/></Relationships>
</file>

<file path=word/theme/theme1.xml><?xml version="1.0" encoding="utf-8"?>
<a:theme xmlns:a="http://schemas.openxmlformats.org/drawingml/2006/main" name="Office Theme">
  <a:themeElements>
    <a:clrScheme name="Custom 190">
      <a:dk1>
        <a:sysClr val="windowText" lastClr="000000"/>
      </a:dk1>
      <a:lt1>
        <a:sysClr val="window" lastClr="FFFFFF"/>
      </a:lt1>
      <a:dk2>
        <a:srgbClr val="333333"/>
      </a:dk2>
      <a:lt2>
        <a:srgbClr val="E7E6E6"/>
      </a:lt2>
      <a:accent1>
        <a:srgbClr val="7CC400"/>
      </a:accent1>
      <a:accent2>
        <a:srgbClr val="007B34"/>
      </a:accent2>
      <a:accent3>
        <a:srgbClr val="00857A"/>
      </a:accent3>
      <a:accent4>
        <a:srgbClr val="004C9D"/>
      </a:accent4>
      <a:accent5>
        <a:srgbClr val="32C8FA"/>
      </a:accent5>
      <a:accent6>
        <a:srgbClr val="00B2A1"/>
      </a:accent6>
      <a:hlink>
        <a:srgbClr val="0563C1"/>
      </a:hlink>
      <a:folHlink>
        <a:srgbClr val="954F72"/>
      </a:folHlink>
    </a:clrScheme>
    <a:fontScheme name="Custom 74">
      <a:majorFont>
        <a:latin typeface="Tenorite"/>
        <a:ea typeface=""/>
        <a:cs typeface=""/>
      </a:majorFont>
      <a:minorFont>
        <a:latin typeface="Tenorit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befc8a1d9551445aa23483994debf5e3 xmlns="fd3f14cf-c43e-4448-85f1-d3a36c181a0a">
      <Terms xmlns="http://schemas.microsoft.com/office/infopath/2007/PartnerControls"/>
    </befc8a1d9551445aa23483994debf5e3>
    <lcf76f155ced4ddcb4097134ff3c332f xmlns="fd3f14cf-c43e-4448-85f1-d3a36c181a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C04B8B39E81A45BB23B658E64D401A" ma:contentTypeVersion="14" ma:contentTypeDescription="Create a new document." ma:contentTypeScope="" ma:versionID="00823347950b9d40142b6b4fb862aec4">
  <xsd:schema xmlns:xsd="http://www.w3.org/2001/XMLSchema" xmlns:xs="http://www.w3.org/2001/XMLSchema" xmlns:p="http://schemas.microsoft.com/office/2006/metadata/properties" xmlns:ns2="fd3f14cf-c43e-4448-85f1-d3a36c181a0a" xmlns:ns3="cadce026-d35b-4a62-a2ee-1436bb44fb55" xmlns:ns4="a618e47c-7853-4507-a12e-9186dea01ba6" targetNamespace="http://schemas.microsoft.com/office/2006/metadata/properties" ma:root="true" ma:fieldsID="aa5db07e77e4904f17d3633fec72de78" ns2:_="" ns3:_="" ns4:_="">
    <xsd:import namespace="fd3f14cf-c43e-4448-85f1-d3a36c181a0a"/>
    <xsd:import namespace="cadce026-d35b-4a62-a2ee-1436bb44fb55"/>
    <xsd:import namespace="a618e47c-7853-4507-a12e-9186dea01ba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element ref="ns2:befc8a1d9551445aa23483994debf5e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f14cf-c43e-4448-85f1-d3a36c181a0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befc8a1d9551445aa23483994debf5e3" ma:index="20" nillable="true" ma:taxonomy="true" ma:internalName="befc8a1d9551445aa23483994debf5e3" ma:taxonomyFieldName="TEST" ma:displayName="TEST" ma:default="" ma:fieldId="{befc8a1d-9551-445a-a234-83994debf5e3}" ma:sspId="f571c05a-9bf0-4b0b-ad97-e13aed49ba31" ma:termSetId="386095d1-c68d-4c6d-b587-48ddaf1aecc9" ma:anchorId="00000000-0000-0000-0000-000000000000"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5620694-b4ce-47f1-a80c-9b741e226940}" ma:internalName="TaxCatchAll" ma:showField="CatchAllData" ma:web="a618e47c-7853-4507-a12e-9186dea01b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18e47c-7853-4507-a12e-9186dea01b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4B259-E443-44D4-BA14-35EC5BFE51BA}">
  <ds:schemaRefs>
    <ds:schemaRef ds:uri="http://schemas.microsoft.com/office/2006/metadata/properties"/>
    <ds:schemaRef ds:uri="http://schemas.microsoft.com/office/infopath/2007/PartnerControls"/>
    <ds:schemaRef ds:uri="cadce026-d35b-4a62-a2ee-1436bb44fb55"/>
    <ds:schemaRef ds:uri="fd3f14cf-c43e-4448-85f1-d3a36c181a0a"/>
  </ds:schemaRefs>
</ds:datastoreItem>
</file>

<file path=customXml/itemProps2.xml><?xml version="1.0" encoding="utf-8"?>
<ds:datastoreItem xmlns:ds="http://schemas.openxmlformats.org/officeDocument/2006/customXml" ds:itemID="{64759FB8-A9B4-4E5E-9FAE-2BFC39DC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f14cf-c43e-4448-85f1-d3a36c181a0a"/>
    <ds:schemaRef ds:uri="cadce026-d35b-4a62-a2ee-1436bb44fb55"/>
    <ds:schemaRef ds:uri="a618e47c-7853-4507-a12e-9186dea01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D6161-0A9F-4BE0-B9C9-DE2F3F2FE113}">
  <ds:schemaRefs>
    <ds:schemaRef ds:uri="http://schemas.openxmlformats.org/officeDocument/2006/bibliography"/>
  </ds:schemaRefs>
</ds:datastoreItem>
</file>

<file path=customXml/itemProps4.xml><?xml version="1.0" encoding="utf-8"?>
<ds:datastoreItem xmlns:ds="http://schemas.openxmlformats.org/officeDocument/2006/customXml" ds:itemID="{D03AE83C-A99D-4C3D-9FF1-EDBB24183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 HAVE A QUERY DOC UPDATED</Template>
  <TotalTime>96</TotalTime>
  <Pages>6</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Gillan, Charlotte</dc:creator>
  <cp:keywords/>
  <dc:description/>
  <cp:lastModifiedBy>Gary Barnes</cp:lastModifiedBy>
  <cp:revision>62</cp:revision>
  <cp:lastPrinted>2024-05-17T10:45:00Z</cp:lastPrinted>
  <dcterms:created xsi:type="dcterms:W3CDTF">2025-01-14T16:52:00Z</dcterms:created>
  <dcterms:modified xsi:type="dcterms:W3CDTF">2025-01-17T15:35:00Z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0x01010082C04B8B39E81A45BB23B658E64D401A</vt:lpwstr>
  </property>
  <property fmtid="{D5CDD505-2E9C-101B-9397-08002B2CF9AE}" pid="3" name="MSIP_Label_6b4219f1-4f00-48e0-b310-032f85269d6d_Enabled">
    <vt:lpwstr>true</vt:lpwstr>
  </property>
  <property fmtid="{D5CDD505-2E9C-101B-9397-08002B2CF9AE}" pid="4" name="MSIP_Label_6b4219f1-4f00-48e0-b310-032f85269d6d_SetDate">
    <vt:lpwstr>2025-01-14T16:52:00Z</vt:lpwstr>
  </property>
  <property fmtid="{D5CDD505-2E9C-101B-9397-08002B2CF9AE}" pid="5" name="MSIP_Label_6b4219f1-4f00-48e0-b310-032f85269d6d_Method">
    <vt:lpwstr>Standard</vt:lpwstr>
  </property>
  <property fmtid="{D5CDD505-2E9C-101B-9397-08002B2CF9AE}" pid="6" name="MSIP_Label_6b4219f1-4f00-48e0-b310-032f85269d6d_Name">
    <vt:lpwstr>Official</vt:lpwstr>
  </property>
  <property fmtid="{D5CDD505-2E9C-101B-9397-08002B2CF9AE}" pid="7" name="MSIP_Label_6b4219f1-4f00-48e0-b310-032f85269d6d_SiteId">
    <vt:lpwstr>b5d83618-97ea-48ec-b0be-8d4a7d678322</vt:lpwstr>
  </property>
  <property fmtid="{D5CDD505-2E9C-101B-9397-08002B2CF9AE}" pid="8" name="MSIP_Label_6b4219f1-4f00-48e0-b310-032f85269d6d_ActionId">
    <vt:lpwstr>b515e9c0-fd2e-40fa-851d-1cdefe6b75e5</vt:lpwstr>
  </property>
  <property fmtid="{D5CDD505-2E9C-101B-9397-08002B2CF9AE}" pid="9" name="MSIP_Label_6b4219f1-4f00-48e0-b310-032f85269d6d_ContentBits">
    <vt:lpwstr>0</vt:lpwstr>
  </property>
</Properties>
</file>